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A04B78" w14:textId="77777777" w:rsidR="00616995" w:rsidRDefault="00616995" w:rsidP="00291196">
      <w:pPr>
        <w:spacing w:before="240" w:after="240"/>
        <w:ind w:firstLineChars="0" w:firstLine="0"/>
        <w:rPr>
          <w:rFonts w:eastAsiaTheme="minorEastAsia" w:cs="Book Antiqua"/>
          <w:b/>
          <w:bCs/>
          <w:color w:val="000000" w:themeColor="text1"/>
          <w:kern w:val="0"/>
          <w:sz w:val="24"/>
          <w:szCs w:val="20"/>
          <w:lang w:val="en-GB"/>
        </w:rPr>
      </w:pPr>
      <w:r w:rsidRPr="00616995">
        <w:rPr>
          <w:rFonts w:eastAsiaTheme="minorEastAsia" w:cs="Book Antiqua"/>
          <w:b/>
          <w:bCs/>
          <w:color w:val="000000" w:themeColor="text1"/>
          <w:kern w:val="0"/>
          <w:sz w:val="24"/>
          <w:szCs w:val="20"/>
          <w:lang w:val="en-GB"/>
        </w:rPr>
        <w:t>Supplementary Material</w:t>
      </w:r>
    </w:p>
    <w:p w14:paraId="0AF31420" w14:textId="7C6F15B2" w:rsidR="00291196" w:rsidRPr="00A079CB" w:rsidRDefault="00291196" w:rsidP="00291196">
      <w:pPr>
        <w:spacing w:before="240" w:after="240"/>
        <w:ind w:firstLineChars="0" w:firstLine="0"/>
        <w:rPr>
          <w:rFonts w:eastAsia="Arial"/>
          <w:b/>
          <w:bCs/>
          <w:color w:val="000000" w:themeColor="text1"/>
          <w:kern w:val="0"/>
          <w:sz w:val="24"/>
          <w:szCs w:val="24"/>
          <w:lang w:val="en-GB"/>
        </w:rPr>
      </w:pPr>
      <w:bookmarkStart w:id="0" w:name="OLE_LINK1"/>
      <w:r w:rsidRPr="00A079CB">
        <w:rPr>
          <w:rFonts w:eastAsia="Arial"/>
          <w:b/>
          <w:bCs/>
          <w:color w:val="000000" w:themeColor="text1"/>
          <w:kern w:val="0"/>
          <w:sz w:val="24"/>
          <w:szCs w:val="24"/>
          <w:lang w:val="en-GB"/>
        </w:rPr>
        <w:t>Methodology</w:t>
      </w:r>
    </w:p>
    <w:bookmarkEnd w:id="0"/>
    <w:p w14:paraId="2A57BD55" w14:textId="053973ED" w:rsidR="00291196" w:rsidRPr="00A079CB" w:rsidRDefault="00DE0773" w:rsidP="00291196">
      <w:pPr>
        <w:pStyle w:val="2"/>
        <w:rPr>
          <w:color w:val="000000" w:themeColor="text1"/>
          <w:lang w:val="en-GB"/>
        </w:rPr>
      </w:pPr>
      <w:r>
        <w:rPr>
          <w:color w:val="000000" w:themeColor="text1"/>
          <w:lang w:val="en-GB"/>
        </w:rPr>
        <w:t>S</w:t>
      </w:r>
      <w:r w:rsidR="00291196" w:rsidRPr="00A079CB">
        <w:rPr>
          <w:color w:val="000000" w:themeColor="text1"/>
          <w:lang w:val="en-GB"/>
        </w:rPr>
        <w:t xml:space="preserve">.M.1 Study description </w:t>
      </w:r>
    </w:p>
    <w:p w14:paraId="03073814" w14:textId="0821028C" w:rsidR="00291196" w:rsidRPr="00A079CB" w:rsidRDefault="00DE0773" w:rsidP="00291196">
      <w:pPr>
        <w:pStyle w:val="3"/>
        <w:rPr>
          <w:color w:val="000000" w:themeColor="text1"/>
          <w:lang w:val="en-GB"/>
        </w:rPr>
      </w:pPr>
      <w:r>
        <w:rPr>
          <w:color w:val="000000" w:themeColor="text1"/>
          <w:lang w:val="en-GB"/>
        </w:rPr>
        <w:t>S</w:t>
      </w:r>
      <w:r w:rsidR="00291196" w:rsidRPr="00A079CB">
        <w:rPr>
          <w:color w:val="000000" w:themeColor="text1"/>
          <w:lang w:val="en-GB"/>
        </w:rPr>
        <w:t>.M.1.1 Samples description and preparation</w:t>
      </w:r>
    </w:p>
    <w:tbl>
      <w:tblPr>
        <w:tblStyle w:val="af3"/>
        <w:tblW w:w="5000" w:type="pct"/>
        <w:tblLook w:val="04A0" w:firstRow="1" w:lastRow="0" w:firstColumn="1" w:lastColumn="0" w:noHBand="0" w:noVBand="1"/>
      </w:tblPr>
      <w:tblGrid>
        <w:gridCol w:w="1997"/>
        <w:gridCol w:w="2302"/>
        <w:gridCol w:w="2304"/>
        <w:gridCol w:w="3133"/>
      </w:tblGrid>
      <w:tr w:rsidR="00A079CB" w:rsidRPr="00A079CB" w14:paraId="42CA3B7F" w14:textId="77777777" w:rsidTr="00DA51EE">
        <w:trPr>
          <w:trHeight w:val="227"/>
        </w:trPr>
        <w:tc>
          <w:tcPr>
            <w:tcW w:w="5000" w:type="pct"/>
            <w:gridSpan w:val="4"/>
          </w:tcPr>
          <w:p w14:paraId="46FF14B5" w14:textId="756B7838" w:rsidR="00291196" w:rsidRPr="00A079CB" w:rsidRDefault="00291196" w:rsidP="00DA51EE">
            <w:pPr>
              <w:ind w:firstLineChars="0" w:firstLine="0"/>
              <w:rPr>
                <w:rFonts w:eastAsia="Arial"/>
                <w:color w:val="000000" w:themeColor="text1"/>
                <w:sz w:val="18"/>
                <w:szCs w:val="18"/>
                <w:lang w:val="en-GB"/>
              </w:rPr>
            </w:pPr>
            <w:r w:rsidRPr="00A079CB">
              <w:rPr>
                <w:rFonts w:eastAsia="Arial"/>
                <w:b/>
                <w:bCs/>
                <w:color w:val="000000" w:themeColor="text1"/>
                <w:sz w:val="18"/>
                <w:szCs w:val="18"/>
                <w:lang w:val="en-GB"/>
              </w:rPr>
              <w:t xml:space="preserve">Table </w:t>
            </w:r>
            <w:r w:rsidR="00DE0773">
              <w:rPr>
                <w:rFonts w:eastAsia="Arial"/>
                <w:b/>
                <w:bCs/>
                <w:color w:val="000000" w:themeColor="text1"/>
                <w:sz w:val="18"/>
                <w:szCs w:val="18"/>
                <w:lang w:val="en-GB"/>
              </w:rPr>
              <w:t>S</w:t>
            </w:r>
            <w:r w:rsidR="00DE0773" w:rsidRPr="00A079CB">
              <w:rPr>
                <w:rFonts w:eastAsia="Arial"/>
                <w:b/>
                <w:bCs/>
                <w:color w:val="000000" w:themeColor="text1"/>
                <w:sz w:val="18"/>
                <w:szCs w:val="18"/>
                <w:lang w:val="en-GB"/>
              </w:rPr>
              <w:t>1</w:t>
            </w:r>
            <w:r w:rsidRPr="00A079CB">
              <w:rPr>
                <w:rFonts w:eastAsia="Arial"/>
                <w:b/>
                <w:bCs/>
                <w:color w:val="000000" w:themeColor="text1"/>
                <w:sz w:val="18"/>
                <w:szCs w:val="18"/>
                <w:lang w:val="en-GB"/>
              </w:rPr>
              <w:t>: Disc characteristics after dissection</w:t>
            </w:r>
          </w:p>
        </w:tc>
      </w:tr>
      <w:tr w:rsidR="00A079CB" w:rsidRPr="00A079CB" w14:paraId="00255FCA" w14:textId="77777777" w:rsidTr="00DA51EE">
        <w:trPr>
          <w:trHeight w:val="227"/>
        </w:trPr>
        <w:tc>
          <w:tcPr>
            <w:tcW w:w="1026" w:type="pct"/>
            <w:tcBorders>
              <w:bottom w:val="single" w:sz="8" w:space="0" w:color="auto"/>
            </w:tcBorders>
          </w:tcPr>
          <w:p w14:paraId="63595C83"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Disc identity</w:t>
            </w:r>
          </w:p>
        </w:tc>
        <w:tc>
          <w:tcPr>
            <w:tcW w:w="2365" w:type="pct"/>
            <w:gridSpan w:val="2"/>
            <w:tcBorders>
              <w:bottom w:val="single" w:sz="8" w:space="0" w:color="auto"/>
            </w:tcBorders>
          </w:tcPr>
          <w:p w14:paraId="763F0493"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Diameter: average and standard deviation (SD) (mm)</w:t>
            </w:r>
          </w:p>
        </w:tc>
        <w:tc>
          <w:tcPr>
            <w:tcW w:w="1609" w:type="pct"/>
            <w:tcBorders>
              <w:bottom w:val="single" w:sz="8" w:space="0" w:color="auto"/>
            </w:tcBorders>
          </w:tcPr>
          <w:p w14:paraId="6A9F6653"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Group</w:t>
            </w:r>
          </w:p>
        </w:tc>
      </w:tr>
      <w:tr w:rsidR="00A079CB" w:rsidRPr="00A079CB" w14:paraId="578B8C6E" w14:textId="77777777" w:rsidTr="00DA51EE">
        <w:trPr>
          <w:trHeight w:val="227"/>
        </w:trPr>
        <w:tc>
          <w:tcPr>
            <w:tcW w:w="1026" w:type="pct"/>
            <w:tcBorders>
              <w:top w:val="single" w:sz="8" w:space="0" w:color="auto"/>
            </w:tcBorders>
          </w:tcPr>
          <w:p w14:paraId="34D86F7F"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1 Disc 3 (T1D3)</w:t>
            </w:r>
          </w:p>
        </w:tc>
        <w:tc>
          <w:tcPr>
            <w:tcW w:w="1182" w:type="pct"/>
            <w:tcBorders>
              <w:top w:val="single" w:sz="8" w:space="0" w:color="auto"/>
            </w:tcBorders>
          </w:tcPr>
          <w:p w14:paraId="6E3A2DEE"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14.0</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0.1</w:t>
            </w:r>
          </w:p>
        </w:tc>
        <w:tc>
          <w:tcPr>
            <w:tcW w:w="1183" w:type="pct"/>
            <w:vMerge w:val="restart"/>
            <w:tcBorders>
              <w:top w:val="single" w:sz="8" w:space="0" w:color="auto"/>
            </w:tcBorders>
            <w:vAlign w:val="center"/>
          </w:tcPr>
          <w:p w14:paraId="49010709" w14:textId="77777777" w:rsidR="00291196" w:rsidRPr="00A079CB" w:rsidRDefault="00291196" w:rsidP="00DA51EE">
            <w:pPr>
              <w:ind w:firstLineChars="0" w:firstLine="268"/>
              <w:rPr>
                <w:rFonts w:eastAsia="Arial"/>
                <w:color w:val="000000" w:themeColor="text1"/>
                <w:sz w:val="18"/>
                <w:szCs w:val="18"/>
                <w:lang w:val="en-GB"/>
              </w:rPr>
            </w:pPr>
            <w:r w:rsidRPr="00A079CB">
              <w:rPr>
                <w:rFonts w:eastAsia="Arial"/>
                <w:color w:val="000000" w:themeColor="text1"/>
                <w:sz w:val="18"/>
                <w:szCs w:val="18"/>
                <w:lang w:val="en-GB"/>
              </w:rPr>
              <w:t>16.3</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2.0</w:t>
            </w:r>
          </w:p>
        </w:tc>
        <w:tc>
          <w:tcPr>
            <w:tcW w:w="1609" w:type="pct"/>
            <w:tcBorders>
              <w:top w:val="single" w:sz="8" w:space="0" w:color="auto"/>
            </w:tcBorders>
          </w:tcPr>
          <w:p w14:paraId="4777BC9C"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Day0</w:t>
            </w:r>
          </w:p>
        </w:tc>
      </w:tr>
      <w:tr w:rsidR="00A079CB" w:rsidRPr="00A079CB" w14:paraId="67E855E4" w14:textId="77777777" w:rsidTr="00DA51EE">
        <w:trPr>
          <w:trHeight w:val="227"/>
        </w:trPr>
        <w:tc>
          <w:tcPr>
            <w:tcW w:w="1026" w:type="pct"/>
          </w:tcPr>
          <w:p w14:paraId="1F97370C"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2 Disc 3 (T2D3)</w:t>
            </w:r>
          </w:p>
        </w:tc>
        <w:tc>
          <w:tcPr>
            <w:tcW w:w="1182" w:type="pct"/>
          </w:tcPr>
          <w:p w14:paraId="07278E18"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17.4</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 xml:space="preserve">0.7 </w:t>
            </w:r>
          </w:p>
        </w:tc>
        <w:tc>
          <w:tcPr>
            <w:tcW w:w="1183" w:type="pct"/>
            <w:vMerge/>
            <w:vAlign w:val="center"/>
          </w:tcPr>
          <w:p w14:paraId="1382F42E"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21DE4ACD"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Day0</w:t>
            </w:r>
          </w:p>
        </w:tc>
      </w:tr>
      <w:tr w:rsidR="00A079CB" w:rsidRPr="00A079CB" w14:paraId="513206CB" w14:textId="77777777" w:rsidTr="00DA51EE">
        <w:trPr>
          <w:trHeight w:val="227"/>
        </w:trPr>
        <w:tc>
          <w:tcPr>
            <w:tcW w:w="1026" w:type="pct"/>
          </w:tcPr>
          <w:p w14:paraId="5733E73D"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3 Disc 3 (T3D3)</w:t>
            </w:r>
          </w:p>
        </w:tc>
        <w:tc>
          <w:tcPr>
            <w:tcW w:w="1182" w:type="pct"/>
          </w:tcPr>
          <w:p w14:paraId="7D3B0013"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17.5</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0.1</w:t>
            </w:r>
          </w:p>
        </w:tc>
        <w:tc>
          <w:tcPr>
            <w:tcW w:w="1183" w:type="pct"/>
            <w:vMerge/>
            <w:vAlign w:val="center"/>
          </w:tcPr>
          <w:p w14:paraId="5B7ECED7"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2AD1E459"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Day0</w:t>
            </w:r>
          </w:p>
        </w:tc>
      </w:tr>
      <w:tr w:rsidR="00A079CB" w:rsidRPr="00A079CB" w14:paraId="2B9D479E" w14:textId="77777777" w:rsidTr="00DA51EE">
        <w:trPr>
          <w:trHeight w:val="227"/>
        </w:trPr>
        <w:tc>
          <w:tcPr>
            <w:tcW w:w="1026" w:type="pct"/>
          </w:tcPr>
          <w:p w14:paraId="073B7922"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1 Disc 2 (T1D2)</w:t>
            </w:r>
          </w:p>
        </w:tc>
        <w:tc>
          <w:tcPr>
            <w:tcW w:w="1182" w:type="pct"/>
          </w:tcPr>
          <w:p w14:paraId="0FA2C999"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15.7</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0.8</w:t>
            </w:r>
          </w:p>
        </w:tc>
        <w:tc>
          <w:tcPr>
            <w:tcW w:w="1183" w:type="pct"/>
            <w:vMerge w:val="restart"/>
            <w:vAlign w:val="center"/>
          </w:tcPr>
          <w:p w14:paraId="731CA78E" w14:textId="77777777" w:rsidR="00291196" w:rsidRPr="00A079CB" w:rsidRDefault="00291196" w:rsidP="00DA51EE">
            <w:pPr>
              <w:ind w:firstLineChars="0" w:firstLine="268"/>
              <w:rPr>
                <w:rFonts w:eastAsia="Arial"/>
                <w:color w:val="000000" w:themeColor="text1"/>
                <w:sz w:val="18"/>
                <w:szCs w:val="18"/>
                <w:lang w:val="en-GB"/>
              </w:rPr>
            </w:pPr>
            <w:r w:rsidRPr="00A079CB">
              <w:rPr>
                <w:rFonts w:eastAsia="Arial"/>
                <w:color w:val="000000" w:themeColor="text1"/>
                <w:sz w:val="18"/>
                <w:szCs w:val="18"/>
                <w:lang w:val="en-GB"/>
              </w:rPr>
              <w:t>15.7</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0.1</w:t>
            </w:r>
          </w:p>
        </w:tc>
        <w:tc>
          <w:tcPr>
            <w:tcW w:w="1609" w:type="pct"/>
          </w:tcPr>
          <w:p w14:paraId="2D54DC89"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Dynamic loading</w:t>
            </w:r>
          </w:p>
        </w:tc>
      </w:tr>
      <w:tr w:rsidR="00A079CB" w:rsidRPr="00A079CB" w14:paraId="7F0E75E8" w14:textId="77777777" w:rsidTr="00DA51EE">
        <w:trPr>
          <w:trHeight w:val="227"/>
        </w:trPr>
        <w:tc>
          <w:tcPr>
            <w:tcW w:w="1026" w:type="pct"/>
          </w:tcPr>
          <w:p w14:paraId="4BD135B0"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2 Disc 4 (T2D4)</w:t>
            </w:r>
          </w:p>
        </w:tc>
        <w:tc>
          <w:tcPr>
            <w:tcW w:w="1182" w:type="pct"/>
          </w:tcPr>
          <w:p w14:paraId="3405911B"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15.8</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0.3</w:t>
            </w:r>
          </w:p>
        </w:tc>
        <w:tc>
          <w:tcPr>
            <w:tcW w:w="1183" w:type="pct"/>
            <w:vMerge/>
            <w:vAlign w:val="center"/>
          </w:tcPr>
          <w:p w14:paraId="549C8F6D"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1537218A"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Dynamic loading</w:t>
            </w:r>
          </w:p>
        </w:tc>
      </w:tr>
      <w:tr w:rsidR="00A079CB" w:rsidRPr="00A079CB" w14:paraId="6CB3B388" w14:textId="77777777" w:rsidTr="00DA51EE">
        <w:trPr>
          <w:trHeight w:val="227"/>
        </w:trPr>
        <w:tc>
          <w:tcPr>
            <w:tcW w:w="1026" w:type="pct"/>
          </w:tcPr>
          <w:p w14:paraId="68CE501F"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3 Disc 5 (T3D5)</w:t>
            </w:r>
          </w:p>
        </w:tc>
        <w:tc>
          <w:tcPr>
            <w:tcW w:w="1182" w:type="pct"/>
          </w:tcPr>
          <w:p w14:paraId="4DE4A56E"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15.7</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0.0</w:t>
            </w:r>
          </w:p>
        </w:tc>
        <w:tc>
          <w:tcPr>
            <w:tcW w:w="1183" w:type="pct"/>
            <w:vMerge/>
            <w:vAlign w:val="center"/>
          </w:tcPr>
          <w:p w14:paraId="57AB4394"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604C5DB4"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Dynamic loading</w:t>
            </w:r>
          </w:p>
        </w:tc>
      </w:tr>
      <w:tr w:rsidR="00A079CB" w:rsidRPr="00A079CB" w14:paraId="090083BC" w14:textId="77777777" w:rsidTr="00DA51EE">
        <w:trPr>
          <w:trHeight w:val="227"/>
        </w:trPr>
        <w:tc>
          <w:tcPr>
            <w:tcW w:w="1026" w:type="pct"/>
          </w:tcPr>
          <w:p w14:paraId="44FB4CE3"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1 Disc 1 (T1D1)</w:t>
            </w:r>
          </w:p>
        </w:tc>
        <w:tc>
          <w:tcPr>
            <w:tcW w:w="1182" w:type="pct"/>
          </w:tcPr>
          <w:p w14:paraId="77C16A44"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16.5</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0.6</w:t>
            </w:r>
          </w:p>
        </w:tc>
        <w:tc>
          <w:tcPr>
            <w:tcW w:w="1183" w:type="pct"/>
            <w:vMerge w:val="restart"/>
            <w:vAlign w:val="center"/>
          </w:tcPr>
          <w:p w14:paraId="5216AFAF" w14:textId="77777777" w:rsidR="00291196" w:rsidRPr="00A079CB" w:rsidRDefault="00291196" w:rsidP="00DA51EE">
            <w:pPr>
              <w:ind w:firstLineChars="0" w:firstLine="268"/>
              <w:rPr>
                <w:rFonts w:eastAsia="Arial"/>
                <w:color w:val="000000" w:themeColor="text1"/>
                <w:sz w:val="18"/>
                <w:szCs w:val="18"/>
                <w:lang w:val="en-GB"/>
              </w:rPr>
            </w:pPr>
            <w:r w:rsidRPr="00A079CB">
              <w:rPr>
                <w:rFonts w:eastAsia="Arial"/>
                <w:color w:val="000000" w:themeColor="text1"/>
                <w:sz w:val="18"/>
                <w:szCs w:val="18"/>
                <w:lang w:val="en-GB"/>
              </w:rPr>
              <w:t>15.9</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0.9</w:t>
            </w:r>
          </w:p>
        </w:tc>
        <w:tc>
          <w:tcPr>
            <w:tcW w:w="1609" w:type="pct"/>
          </w:tcPr>
          <w:p w14:paraId="4B5EA584"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Active dynamic unloading</w:t>
            </w:r>
          </w:p>
        </w:tc>
      </w:tr>
      <w:tr w:rsidR="00A079CB" w:rsidRPr="00A079CB" w14:paraId="176066BF" w14:textId="77777777" w:rsidTr="00DA51EE">
        <w:trPr>
          <w:trHeight w:val="227"/>
        </w:trPr>
        <w:tc>
          <w:tcPr>
            <w:tcW w:w="1026" w:type="pct"/>
          </w:tcPr>
          <w:p w14:paraId="73CA8169"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2 Disc 5 (T2D5)</w:t>
            </w:r>
          </w:p>
        </w:tc>
        <w:tc>
          <w:tcPr>
            <w:tcW w:w="1182" w:type="pct"/>
          </w:tcPr>
          <w:p w14:paraId="3AD3893D"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14.9</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0.1</w:t>
            </w:r>
          </w:p>
        </w:tc>
        <w:tc>
          <w:tcPr>
            <w:tcW w:w="1183" w:type="pct"/>
            <w:vMerge/>
            <w:vAlign w:val="center"/>
          </w:tcPr>
          <w:p w14:paraId="6044B8CF"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4772BA43"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Active dynamic unloading</w:t>
            </w:r>
          </w:p>
        </w:tc>
      </w:tr>
      <w:tr w:rsidR="00A079CB" w:rsidRPr="00A079CB" w14:paraId="176D4EDE" w14:textId="77777777" w:rsidTr="00DA51EE">
        <w:trPr>
          <w:trHeight w:val="227"/>
        </w:trPr>
        <w:tc>
          <w:tcPr>
            <w:tcW w:w="1026" w:type="pct"/>
          </w:tcPr>
          <w:p w14:paraId="68526F06"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3 Disc 4 (T3D4)</w:t>
            </w:r>
          </w:p>
        </w:tc>
        <w:tc>
          <w:tcPr>
            <w:tcW w:w="1182" w:type="pct"/>
          </w:tcPr>
          <w:p w14:paraId="3D7A1784"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16.3</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0.3</w:t>
            </w:r>
          </w:p>
        </w:tc>
        <w:tc>
          <w:tcPr>
            <w:tcW w:w="1183" w:type="pct"/>
            <w:vMerge/>
            <w:vAlign w:val="center"/>
          </w:tcPr>
          <w:p w14:paraId="0FE4F0BB"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5CF3FE3D"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Active dynamic unloading</w:t>
            </w:r>
          </w:p>
        </w:tc>
      </w:tr>
      <w:tr w:rsidR="00A079CB" w:rsidRPr="00A079CB" w14:paraId="055FCE71" w14:textId="77777777" w:rsidTr="00DA51EE">
        <w:trPr>
          <w:trHeight w:val="227"/>
        </w:trPr>
        <w:tc>
          <w:tcPr>
            <w:tcW w:w="1026" w:type="pct"/>
          </w:tcPr>
          <w:p w14:paraId="577752EB"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2 Disc 2 (T2D2)</w:t>
            </w:r>
          </w:p>
        </w:tc>
        <w:tc>
          <w:tcPr>
            <w:tcW w:w="1182" w:type="pct"/>
          </w:tcPr>
          <w:p w14:paraId="17B4EB06"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18.4</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0.1</w:t>
            </w:r>
          </w:p>
        </w:tc>
        <w:tc>
          <w:tcPr>
            <w:tcW w:w="1183" w:type="pct"/>
            <w:vMerge w:val="restart"/>
            <w:vAlign w:val="center"/>
          </w:tcPr>
          <w:p w14:paraId="12A8FD01" w14:textId="77777777" w:rsidR="00291196" w:rsidRPr="00A079CB" w:rsidRDefault="00291196" w:rsidP="00DA51EE">
            <w:pPr>
              <w:ind w:firstLineChars="0" w:firstLine="268"/>
              <w:rPr>
                <w:rFonts w:eastAsia="Arial"/>
                <w:color w:val="000000" w:themeColor="text1"/>
                <w:sz w:val="18"/>
                <w:szCs w:val="18"/>
                <w:lang w:val="en-GB"/>
              </w:rPr>
            </w:pPr>
            <w:r w:rsidRPr="00A079CB">
              <w:rPr>
                <w:rFonts w:eastAsia="Arial"/>
                <w:color w:val="000000" w:themeColor="text1"/>
                <w:sz w:val="18"/>
                <w:szCs w:val="18"/>
                <w:lang w:val="en-GB"/>
              </w:rPr>
              <w:t>18.1</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0.4</w:t>
            </w:r>
          </w:p>
        </w:tc>
        <w:tc>
          <w:tcPr>
            <w:tcW w:w="1609" w:type="pct"/>
          </w:tcPr>
          <w:p w14:paraId="77FECF33"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Free swelling</w:t>
            </w:r>
          </w:p>
        </w:tc>
      </w:tr>
      <w:tr w:rsidR="00A079CB" w:rsidRPr="00A079CB" w14:paraId="4AB68719" w14:textId="77777777" w:rsidTr="00DA51EE">
        <w:trPr>
          <w:trHeight w:val="227"/>
        </w:trPr>
        <w:tc>
          <w:tcPr>
            <w:tcW w:w="1026" w:type="pct"/>
          </w:tcPr>
          <w:p w14:paraId="477F82B7"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Tail 3 Disc 2 (T3D2)</w:t>
            </w:r>
          </w:p>
        </w:tc>
        <w:tc>
          <w:tcPr>
            <w:tcW w:w="1182" w:type="pct"/>
          </w:tcPr>
          <w:p w14:paraId="01C69321" w14:textId="77777777" w:rsidR="00291196" w:rsidRPr="00A079CB" w:rsidRDefault="00291196" w:rsidP="00DA51EE">
            <w:pPr>
              <w:ind w:firstLine="360"/>
              <w:rPr>
                <w:rFonts w:eastAsia="Arial"/>
                <w:color w:val="000000" w:themeColor="text1"/>
                <w:sz w:val="18"/>
                <w:szCs w:val="18"/>
                <w:lang w:val="en-GB"/>
              </w:rPr>
            </w:pPr>
            <w:r w:rsidRPr="00A079CB">
              <w:rPr>
                <w:rFonts w:eastAsia="Arial"/>
                <w:color w:val="000000" w:themeColor="text1"/>
                <w:sz w:val="18"/>
                <w:szCs w:val="18"/>
                <w:lang w:val="en-GB"/>
              </w:rPr>
              <w:t>17.8</w:t>
            </w:r>
            <m:oMath>
              <m:r>
                <w:rPr>
                  <w:rFonts w:ascii="Cambria Math" w:eastAsia="Arial" w:hAnsi="Cambria Math"/>
                  <w:color w:val="000000" w:themeColor="text1"/>
                  <w:sz w:val="18"/>
                  <w:szCs w:val="18"/>
                  <w:lang w:val="en-GB"/>
                </w:rPr>
                <m:t>±</m:t>
              </m:r>
            </m:oMath>
            <w:r w:rsidRPr="00A079CB">
              <w:rPr>
                <w:rFonts w:eastAsia="Arial"/>
                <w:color w:val="000000" w:themeColor="text1"/>
                <w:sz w:val="18"/>
                <w:szCs w:val="18"/>
                <w:lang w:val="en-GB"/>
              </w:rPr>
              <w:t>0.2</w:t>
            </w:r>
          </w:p>
        </w:tc>
        <w:tc>
          <w:tcPr>
            <w:tcW w:w="1183" w:type="pct"/>
            <w:vMerge/>
          </w:tcPr>
          <w:p w14:paraId="3A071B00" w14:textId="77777777" w:rsidR="00291196" w:rsidRPr="00A079CB" w:rsidRDefault="00291196" w:rsidP="00DA51EE">
            <w:pPr>
              <w:ind w:firstLine="360"/>
              <w:rPr>
                <w:rFonts w:eastAsia="Arial"/>
                <w:color w:val="000000" w:themeColor="text1"/>
                <w:sz w:val="18"/>
                <w:szCs w:val="18"/>
                <w:lang w:val="en-GB"/>
              </w:rPr>
            </w:pPr>
          </w:p>
        </w:tc>
        <w:tc>
          <w:tcPr>
            <w:tcW w:w="1609" w:type="pct"/>
          </w:tcPr>
          <w:p w14:paraId="3DA3A9D1" w14:textId="77777777" w:rsidR="00291196" w:rsidRPr="00A079CB" w:rsidRDefault="00291196" w:rsidP="00DA51EE">
            <w:pPr>
              <w:ind w:firstLineChars="0" w:firstLine="0"/>
              <w:rPr>
                <w:rFonts w:eastAsia="Arial"/>
                <w:color w:val="000000" w:themeColor="text1"/>
                <w:sz w:val="18"/>
                <w:szCs w:val="18"/>
                <w:lang w:val="en-GB"/>
              </w:rPr>
            </w:pPr>
            <w:r w:rsidRPr="00A079CB">
              <w:rPr>
                <w:rFonts w:eastAsia="Arial"/>
                <w:color w:val="000000" w:themeColor="text1"/>
                <w:sz w:val="18"/>
                <w:szCs w:val="18"/>
                <w:lang w:val="en-GB"/>
              </w:rPr>
              <w:t>Free swelling</w:t>
            </w:r>
          </w:p>
        </w:tc>
      </w:tr>
    </w:tbl>
    <w:p w14:paraId="5769B18F" w14:textId="36EFE17F" w:rsidR="00291196" w:rsidRPr="00A079CB" w:rsidRDefault="00DE0773" w:rsidP="00291196">
      <w:pPr>
        <w:pStyle w:val="3"/>
        <w:rPr>
          <w:color w:val="000000" w:themeColor="text1"/>
          <w:lang w:val="en-GB"/>
        </w:rPr>
      </w:pPr>
      <w:r>
        <w:rPr>
          <w:color w:val="000000" w:themeColor="text1"/>
          <w:lang w:val="en-GB"/>
        </w:rPr>
        <w:t>S</w:t>
      </w:r>
      <w:r w:rsidR="00291196" w:rsidRPr="00A079CB">
        <w:rPr>
          <w:color w:val="000000" w:themeColor="text1"/>
          <w:lang w:val="en-GB"/>
        </w:rPr>
        <w:t>.M.1.2 Equipment and consumables</w:t>
      </w:r>
    </w:p>
    <w:tbl>
      <w:tblPr>
        <w:tblStyle w:val="af3"/>
        <w:tblW w:w="5000" w:type="pct"/>
        <w:tblLook w:val="04A0" w:firstRow="1" w:lastRow="0" w:firstColumn="1" w:lastColumn="0" w:noHBand="0" w:noVBand="1"/>
      </w:tblPr>
      <w:tblGrid>
        <w:gridCol w:w="2935"/>
        <w:gridCol w:w="1791"/>
        <w:gridCol w:w="2000"/>
        <w:gridCol w:w="3010"/>
      </w:tblGrid>
      <w:tr w:rsidR="00A079CB" w:rsidRPr="00A079CB" w14:paraId="44EEC545" w14:textId="77777777" w:rsidTr="000E7B24">
        <w:tc>
          <w:tcPr>
            <w:tcW w:w="5000" w:type="pct"/>
            <w:gridSpan w:val="4"/>
          </w:tcPr>
          <w:p w14:paraId="0CCD8EDF" w14:textId="2BAAA75F" w:rsidR="00291196" w:rsidRPr="00A079CB" w:rsidRDefault="00291196" w:rsidP="00DA51EE">
            <w:pPr>
              <w:ind w:firstLineChars="0" w:firstLine="0"/>
              <w:jc w:val="left"/>
              <w:rPr>
                <w:rFonts w:eastAsia="Arial"/>
                <w:b/>
                <w:bCs/>
                <w:color w:val="000000" w:themeColor="text1"/>
                <w:sz w:val="18"/>
                <w:szCs w:val="18"/>
                <w:lang w:val="en-GB"/>
              </w:rPr>
            </w:pPr>
            <w:r w:rsidRPr="00A079CB">
              <w:rPr>
                <w:rFonts w:eastAsia="Arial"/>
                <w:b/>
                <w:bCs/>
                <w:color w:val="000000" w:themeColor="text1"/>
                <w:sz w:val="18"/>
                <w:szCs w:val="18"/>
                <w:lang w:val="en-GB"/>
              </w:rPr>
              <w:t xml:space="preserve">Table </w:t>
            </w:r>
            <w:r w:rsidR="00DE0773">
              <w:rPr>
                <w:rFonts w:eastAsia="Arial"/>
                <w:b/>
                <w:bCs/>
                <w:color w:val="000000" w:themeColor="text1"/>
                <w:sz w:val="18"/>
                <w:szCs w:val="18"/>
                <w:lang w:val="en-GB"/>
              </w:rPr>
              <w:t>S</w:t>
            </w:r>
            <w:r w:rsidR="00DE0773" w:rsidRPr="00A079CB">
              <w:rPr>
                <w:rFonts w:eastAsia="Arial"/>
                <w:b/>
                <w:bCs/>
                <w:color w:val="000000" w:themeColor="text1"/>
                <w:sz w:val="18"/>
                <w:szCs w:val="18"/>
                <w:lang w:val="en-GB"/>
              </w:rPr>
              <w:t>2</w:t>
            </w:r>
            <w:r w:rsidRPr="00A079CB">
              <w:rPr>
                <w:rFonts w:eastAsia="Arial"/>
                <w:b/>
                <w:bCs/>
                <w:color w:val="000000" w:themeColor="text1"/>
                <w:sz w:val="18"/>
                <w:szCs w:val="18"/>
                <w:lang w:val="en-GB"/>
              </w:rPr>
              <w:t>: Equipment and consumables</w:t>
            </w:r>
          </w:p>
        </w:tc>
      </w:tr>
      <w:tr w:rsidR="00A079CB" w:rsidRPr="00A079CB" w14:paraId="44B06667" w14:textId="77777777" w:rsidTr="000E7B24">
        <w:tc>
          <w:tcPr>
            <w:tcW w:w="2427" w:type="pct"/>
            <w:gridSpan w:val="2"/>
            <w:vAlign w:val="center"/>
          </w:tcPr>
          <w:p w14:paraId="1712D41E" w14:textId="77777777" w:rsidR="00291196" w:rsidRPr="00A079CB" w:rsidRDefault="00291196" w:rsidP="00DA51EE">
            <w:pPr>
              <w:ind w:firstLineChars="0" w:firstLine="0"/>
              <w:jc w:val="left"/>
              <w:rPr>
                <w:rFonts w:eastAsia="Arial"/>
                <w:b/>
                <w:bCs/>
                <w:color w:val="000000" w:themeColor="text1"/>
                <w:sz w:val="18"/>
                <w:szCs w:val="18"/>
                <w:lang w:val="en-GB"/>
              </w:rPr>
            </w:pPr>
            <w:r w:rsidRPr="00A079CB">
              <w:rPr>
                <w:rFonts w:eastAsia="Arial"/>
                <w:b/>
                <w:bCs/>
                <w:color w:val="000000" w:themeColor="text1"/>
                <w:sz w:val="18"/>
                <w:szCs w:val="18"/>
                <w:lang w:val="en-GB"/>
              </w:rPr>
              <w:t>Equipment</w:t>
            </w:r>
          </w:p>
        </w:tc>
        <w:tc>
          <w:tcPr>
            <w:tcW w:w="1027" w:type="pct"/>
          </w:tcPr>
          <w:p w14:paraId="48603387" w14:textId="77777777" w:rsidR="00291196" w:rsidRPr="00A079CB" w:rsidRDefault="00291196" w:rsidP="00DA51EE">
            <w:pPr>
              <w:ind w:firstLineChars="0" w:firstLine="0"/>
              <w:jc w:val="left"/>
              <w:rPr>
                <w:rFonts w:eastAsia="Arial"/>
                <w:b/>
                <w:bCs/>
                <w:color w:val="000000" w:themeColor="text1"/>
                <w:sz w:val="18"/>
                <w:szCs w:val="18"/>
                <w:lang w:val="en-GB"/>
              </w:rPr>
            </w:pPr>
            <w:r w:rsidRPr="00A079CB">
              <w:rPr>
                <w:rFonts w:eastAsia="Arial"/>
                <w:color w:val="000000" w:themeColor="text1"/>
                <w:sz w:val="18"/>
                <w:szCs w:val="18"/>
                <w:lang w:val="en-GB"/>
              </w:rPr>
              <w:t>Penicillin-streptomycin (P/S)</w:t>
            </w:r>
          </w:p>
        </w:tc>
        <w:tc>
          <w:tcPr>
            <w:tcW w:w="1546" w:type="pct"/>
          </w:tcPr>
          <w:p w14:paraId="2DA59776" w14:textId="77777777" w:rsidR="00291196" w:rsidRPr="00A079CB" w:rsidRDefault="00291196" w:rsidP="00DA51EE">
            <w:pPr>
              <w:ind w:firstLineChars="0" w:firstLine="0"/>
              <w:jc w:val="left"/>
              <w:rPr>
                <w:rFonts w:eastAsia="Arial"/>
                <w:b/>
                <w:bCs/>
                <w:color w:val="000000" w:themeColor="text1"/>
                <w:sz w:val="18"/>
                <w:szCs w:val="18"/>
                <w:lang w:val="en-GB"/>
              </w:rPr>
            </w:pPr>
            <w:r w:rsidRPr="00A079CB">
              <w:rPr>
                <w:rFonts w:eastAsia="Arial"/>
                <w:color w:val="000000" w:themeColor="text1"/>
                <w:sz w:val="18"/>
                <w:szCs w:val="18"/>
                <w:lang w:val="en-GB"/>
              </w:rPr>
              <w:t>Gibco #15140-122</w:t>
            </w:r>
          </w:p>
        </w:tc>
      </w:tr>
      <w:tr w:rsidR="00A079CB" w:rsidRPr="00A079CB" w14:paraId="66489833" w14:textId="77777777" w:rsidTr="000E7B24">
        <w:tc>
          <w:tcPr>
            <w:tcW w:w="1507" w:type="pct"/>
            <w:tcBorders>
              <w:top w:val="single" w:sz="8" w:space="0" w:color="auto"/>
            </w:tcBorders>
          </w:tcPr>
          <w:p w14:paraId="3E5563C5"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Bandsaw</w:t>
            </w:r>
          </w:p>
        </w:tc>
        <w:tc>
          <w:tcPr>
            <w:tcW w:w="920" w:type="pct"/>
            <w:tcBorders>
              <w:top w:val="single" w:sz="8" w:space="0" w:color="auto"/>
            </w:tcBorders>
          </w:tcPr>
          <w:p w14:paraId="6CE15B0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Exakt 300</w:t>
            </w:r>
          </w:p>
        </w:tc>
        <w:tc>
          <w:tcPr>
            <w:tcW w:w="1027" w:type="pct"/>
          </w:tcPr>
          <w:p w14:paraId="1C6EDD70"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Phosphate Buffered Saline Solution (PBS)</w:t>
            </w:r>
          </w:p>
        </w:tc>
        <w:tc>
          <w:tcPr>
            <w:tcW w:w="1546" w:type="pct"/>
          </w:tcPr>
          <w:p w14:paraId="6431D1C0"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 Aldrich #P4417</w:t>
            </w:r>
          </w:p>
        </w:tc>
      </w:tr>
      <w:tr w:rsidR="00A079CB" w:rsidRPr="00A079CB" w14:paraId="11518373" w14:textId="77777777" w:rsidTr="000E7B24">
        <w:tc>
          <w:tcPr>
            <w:tcW w:w="1507" w:type="pct"/>
          </w:tcPr>
          <w:p w14:paraId="0A03DA7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Callipers</w:t>
            </w:r>
          </w:p>
        </w:tc>
        <w:tc>
          <w:tcPr>
            <w:tcW w:w="920" w:type="pct"/>
          </w:tcPr>
          <w:p w14:paraId="50E1877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Mitutoyo, Absolute AOS Digimatic</w:t>
            </w:r>
          </w:p>
        </w:tc>
        <w:tc>
          <w:tcPr>
            <w:tcW w:w="1027" w:type="pct"/>
          </w:tcPr>
          <w:p w14:paraId="771781FA"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Primocin</w:t>
            </w:r>
          </w:p>
        </w:tc>
        <w:tc>
          <w:tcPr>
            <w:tcW w:w="1546" w:type="pct"/>
          </w:tcPr>
          <w:p w14:paraId="5BE23D2B"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InvivoGen ant-pm-2</w:t>
            </w:r>
          </w:p>
        </w:tc>
      </w:tr>
      <w:tr w:rsidR="00A079CB" w:rsidRPr="00A079CB" w14:paraId="53ACFD4C" w14:textId="77777777" w:rsidTr="000E7B24">
        <w:tc>
          <w:tcPr>
            <w:tcW w:w="1507" w:type="pct"/>
          </w:tcPr>
          <w:p w14:paraId="7F2C8AA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Cryostat</w:t>
            </w:r>
          </w:p>
        </w:tc>
        <w:tc>
          <w:tcPr>
            <w:tcW w:w="920" w:type="pct"/>
          </w:tcPr>
          <w:p w14:paraId="6AD0D5A7"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Thermo Scientific, CryoStar NX70</w:t>
            </w:r>
          </w:p>
        </w:tc>
        <w:tc>
          <w:tcPr>
            <w:tcW w:w="1027" w:type="pct"/>
          </w:tcPr>
          <w:p w14:paraId="68A15A8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Resin (UV-sensitive) </w:t>
            </w:r>
          </w:p>
        </w:tc>
        <w:tc>
          <w:tcPr>
            <w:tcW w:w="1546" w:type="pct"/>
          </w:tcPr>
          <w:p w14:paraId="111AFEC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Formlabs #BioMed Clear FLBMCL01</w:t>
            </w:r>
          </w:p>
        </w:tc>
      </w:tr>
      <w:tr w:rsidR="00A079CB" w:rsidRPr="00A079CB" w14:paraId="2EEA078B" w14:textId="77777777" w:rsidTr="000E7B24">
        <w:tc>
          <w:tcPr>
            <w:tcW w:w="1507" w:type="pct"/>
          </w:tcPr>
          <w:p w14:paraId="2E7E20C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Hammering device for pulverization</w:t>
            </w:r>
          </w:p>
        </w:tc>
        <w:tc>
          <w:tcPr>
            <w:tcW w:w="920" w:type="pct"/>
          </w:tcPr>
          <w:p w14:paraId="37BB6547" w14:textId="2A8405E1"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See Caprez et al.</w:t>
            </w:r>
            <w:r w:rsidRPr="00A079CB">
              <w:rPr>
                <w:rFonts w:eastAsia="Arial"/>
                <w:color w:val="000000" w:themeColor="text1"/>
                <w:sz w:val="18"/>
                <w:szCs w:val="18"/>
                <w:lang w:val="en-GB"/>
              </w:rPr>
              <w:br/>
            </w:r>
            <w:r w:rsidRPr="00A079CB">
              <w:rPr>
                <w:rFonts w:eastAsia="Arial"/>
                <w:color w:val="000000" w:themeColor="text1"/>
                <w:sz w:val="18"/>
                <w:szCs w:val="18"/>
                <w:lang w:val="en-GB"/>
              </w:rPr>
              <w:fldChar w:fldCharType="begin"/>
            </w:r>
            <w:r w:rsidR="00B63C7E" w:rsidRPr="00A079CB">
              <w:rPr>
                <w:rFonts w:eastAsia="Arial"/>
                <w:color w:val="000000" w:themeColor="text1"/>
                <w:sz w:val="18"/>
                <w:szCs w:val="18"/>
                <w:lang w:val="en-GB"/>
              </w:rPr>
              <w:instrText xml:space="preserve"> ADDIN EN.CITE &lt;EndNote&gt;&lt;Cite&gt;&lt;Author&gt;Caprez&lt;/Author&gt;&lt;Year&gt;2018&lt;/Year&gt;&lt;RecNum&gt;1149&lt;/RecNum&gt;&lt;DisplayText&gt;[58]&lt;/DisplayText&gt;&lt;record&gt;&lt;rec-number&gt;1149&lt;/rec-number&gt;&lt;foreign-keys&gt;&lt;key app="EN" db-id="5pppzr2fiz9w5werefnv9p992x5rwrrpzvv2" timestamp="1737299434"&gt;1149&lt;/key&gt;&lt;/foreign-keys&gt;&lt;ref-type name="Journal Article"&gt;17&lt;/ref-type&gt;&lt;contributors&gt;&lt;authors&gt;&lt;author&gt;Caprez, S.&lt;/author&gt;&lt;author&gt;Menzel, U.&lt;/author&gt;&lt;author&gt;Li, Z.&lt;/author&gt;&lt;author&gt;Grad, S.&lt;/author&gt;&lt;author&gt;Alini, M.&lt;/author&gt;&lt;author&gt;Peroglio, M.&lt;/author&gt;&lt;/authors&gt;&lt;/contributors&gt;&lt;auth-address&gt;AO Research Institute Davos Davos Switzerland.&lt;/auth-address&gt;&lt;titles&gt;&lt;title&gt;Isolation of high-quality RNA from intervertebral disc tissue via pronase predigestion and tissue pulverization&lt;/title&gt;&lt;secondary-title&gt;JOR Spine&lt;/secondary-title&gt;&lt;/titles&gt;&lt;periodical&gt;&lt;full-title&gt;JOR Spine&lt;/full-title&gt;&lt;/periodical&gt;&lt;pages&gt;e1017&lt;/pages&gt;&lt;volume&gt;1&lt;/volume&gt;&lt;number&gt;2&lt;/number&gt;&lt;edition&gt;20180619&lt;/edition&gt;&lt;keywords&gt;&lt;keyword&gt;RNA isolation&lt;/keyword&gt;&lt;keyword&gt;gene expression&lt;/keyword&gt;&lt;keyword&gt;intervertebral disc&lt;/keyword&gt;&lt;keyword&gt;real-time PCR&lt;/keyword&gt;&lt;/keywords&gt;&lt;dates&gt;&lt;year&gt;2018&lt;/year&gt;&lt;pub-dates&gt;&lt;date&gt;Jun&lt;/date&gt;&lt;/pub-dates&gt;&lt;/dates&gt;&lt;isbn&gt;2572-1143 (Electronic)&amp;#xD;2572-1143 (Linking)&lt;/isbn&gt;&lt;accession-num&gt;31463444&lt;/accession-num&gt;&lt;urls&gt;&lt;related-urls&gt;&lt;url&gt;https://www.ncbi.nlm.nih.gov/pubmed/31463444&lt;/url&gt;&lt;/related-urls&gt;&lt;/urls&gt;&lt;custom1&gt;The authors have no conflicts of interest to declare.&lt;/custom1&gt;&lt;custom2&gt;PMC6686795&lt;/custom2&gt;&lt;electronic-resource-num&gt;10.1002/jsp2.1017&lt;/electronic-resource-num&gt;&lt;remote-database-name&gt;PubMed-not-MEDLINE&lt;/remote-database-name&gt;&lt;remote-database-provider&gt;NLM&lt;/remote-database-provider&gt;&lt;/record&gt;&lt;/Cite&gt;&lt;/EndNote&gt;</w:instrText>
            </w:r>
            <w:r w:rsidRPr="00A079CB">
              <w:rPr>
                <w:rFonts w:eastAsia="Arial"/>
                <w:color w:val="000000" w:themeColor="text1"/>
                <w:sz w:val="18"/>
                <w:szCs w:val="18"/>
                <w:lang w:val="en-GB"/>
              </w:rPr>
              <w:fldChar w:fldCharType="separate"/>
            </w:r>
            <w:r w:rsidR="00B63C7E" w:rsidRPr="00A079CB">
              <w:rPr>
                <w:rFonts w:eastAsia="Arial"/>
                <w:noProof/>
                <w:color w:val="000000" w:themeColor="text1"/>
                <w:sz w:val="18"/>
                <w:szCs w:val="18"/>
                <w:lang w:val="en-GB"/>
              </w:rPr>
              <w:t>[58]</w:t>
            </w:r>
            <w:r w:rsidRPr="00A079CB">
              <w:rPr>
                <w:rFonts w:eastAsia="Arial"/>
                <w:color w:val="000000" w:themeColor="text1"/>
                <w:sz w:val="18"/>
                <w:szCs w:val="18"/>
                <w:lang w:val="en-GB"/>
              </w:rPr>
              <w:fldChar w:fldCharType="end"/>
            </w:r>
          </w:p>
        </w:tc>
        <w:tc>
          <w:tcPr>
            <w:tcW w:w="1027" w:type="pct"/>
          </w:tcPr>
          <w:p w14:paraId="2B29347A"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Sodium bicarbonate</w:t>
            </w:r>
          </w:p>
        </w:tc>
        <w:tc>
          <w:tcPr>
            <w:tcW w:w="1546" w:type="pct"/>
          </w:tcPr>
          <w:p w14:paraId="66CF046F" w14:textId="3B4DB4FF"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Sigma Aldrich </w:t>
            </w:r>
            <w:r w:rsidR="00DE0773">
              <w:rPr>
                <w:rFonts w:eastAsia="Arial"/>
                <w:color w:val="000000" w:themeColor="text1"/>
                <w:sz w:val="18"/>
                <w:szCs w:val="18"/>
                <w:lang w:val="en-GB"/>
              </w:rPr>
              <w:t>#</w:t>
            </w:r>
            <w:r w:rsidRPr="00A079CB">
              <w:rPr>
                <w:rFonts w:eastAsia="Arial"/>
                <w:color w:val="000000" w:themeColor="text1"/>
                <w:sz w:val="18"/>
                <w:szCs w:val="18"/>
                <w:lang w:val="en-GB"/>
              </w:rPr>
              <w:t>S6014</w:t>
            </w:r>
          </w:p>
        </w:tc>
      </w:tr>
      <w:tr w:rsidR="00A079CB" w:rsidRPr="00A079CB" w14:paraId="3B7BAEC6" w14:textId="77777777" w:rsidTr="000E7B24">
        <w:tc>
          <w:tcPr>
            <w:tcW w:w="1507" w:type="pct"/>
          </w:tcPr>
          <w:p w14:paraId="63302494"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Jet lavage system </w:t>
            </w:r>
          </w:p>
        </w:tc>
        <w:tc>
          <w:tcPr>
            <w:tcW w:w="920" w:type="pct"/>
          </w:tcPr>
          <w:p w14:paraId="48F82DBD"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Zimmer Pulsavac #00-5150482-00</w:t>
            </w:r>
          </w:p>
        </w:tc>
        <w:tc>
          <w:tcPr>
            <w:tcW w:w="1027" w:type="pct"/>
          </w:tcPr>
          <w:p w14:paraId="73FF7BAE" w14:textId="77777777" w:rsidR="00291196" w:rsidRPr="00A079CB" w:rsidRDefault="00291196" w:rsidP="00DA51EE">
            <w:pPr>
              <w:tabs>
                <w:tab w:val="left" w:pos="1140"/>
              </w:tabs>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Sodium pyruvate</w:t>
            </w:r>
          </w:p>
        </w:tc>
        <w:tc>
          <w:tcPr>
            <w:tcW w:w="1546" w:type="pct"/>
          </w:tcPr>
          <w:p w14:paraId="2B38C21D" w14:textId="77777777" w:rsidR="00291196" w:rsidRPr="00A079CB" w:rsidRDefault="00291196" w:rsidP="00DA51EE">
            <w:pPr>
              <w:tabs>
                <w:tab w:val="left" w:pos="1140"/>
              </w:tabs>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 #P5280</w:t>
            </w:r>
          </w:p>
        </w:tc>
      </w:tr>
      <w:tr w:rsidR="00A079CB" w:rsidRPr="00A079CB" w14:paraId="577966E2" w14:textId="77777777" w:rsidTr="000E7B24">
        <w:tc>
          <w:tcPr>
            <w:tcW w:w="1507" w:type="pct"/>
          </w:tcPr>
          <w:p w14:paraId="12ECAC69"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Mechanical loading device with 250N load cell</w:t>
            </w:r>
          </w:p>
        </w:tc>
        <w:tc>
          <w:tcPr>
            <w:tcW w:w="920" w:type="pct"/>
          </w:tcPr>
          <w:p w14:paraId="1C9F00C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Acumen III, MTS Systems Corporation</w:t>
            </w:r>
          </w:p>
        </w:tc>
        <w:tc>
          <w:tcPr>
            <w:tcW w:w="1027" w:type="pct"/>
          </w:tcPr>
          <w:p w14:paraId="1AEC9FF7" w14:textId="77777777" w:rsidR="00291196" w:rsidRPr="00A079CB" w:rsidRDefault="00291196" w:rsidP="00DA51EE">
            <w:pPr>
              <w:ind w:firstLine="360"/>
              <w:jc w:val="left"/>
              <w:rPr>
                <w:rFonts w:eastAsia="Arial"/>
                <w:color w:val="000000" w:themeColor="text1"/>
                <w:sz w:val="18"/>
                <w:szCs w:val="18"/>
                <w:lang w:val="en-GB"/>
              </w:rPr>
            </w:pPr>
          </w:p>
        </w:tc>
        <w:tc>
          <w:tcPr>
            <w:tcW w:w="1546" w:type="pct"/>
          </w:tcPr>
          <w:p w14:paraId="02C194E2" w14:textId="77777777" w:rsidR="00291196" w:rsidRPr="00A079CB" w:rsidRDefault="00291196" w:rsidP="00DA51EE">
            <w:pPr>
              <w:ind w:firstLine="360"/>
              <w:jc w:val="left"/>
              <w:rPr>
                <w:rFonts w:eastAsia="Arial"/>
                <w:color w:val="000000" w:themeColor="text1"/>
                <w:sz w:val="18"/>
                <w:szCs w:val="18"/>
                <w:lang w:val="en-GB"/>
              </w:rPr>
            </w:pPr>
          </w:p>
        </w:tc>
      </w:tr>
      <w:tr w:rsidR="00A079CB" w:rsidRPr="00A079CB" w14:paraId="71E50B32" w14:textId="77777777" w:rsidTr="000E7B24">
        <w:tc>
          <w:tcPr>
            <w:tcW w:w="1507" w:type="pct"/>
          </w:tcPr>
          <w:p w14:paraId="676CE290"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Microplate reader</w:t>
            </w:r>
          </w:p>
        </w:tc>
        <w:tc>
          <w:tcPr>
            <w:tcW w:w="920" w:type="pct"/>
          </w:tcPr>
          <w:p w14:paraId="573CA5D2"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Tecan, Infinite 200 Pro M Plex</w:t>
            </w:r>
          </w:p>
        </w:tc>
        <w:tc>
          <w:tcPr>
            <w:tcW w:w="2573" w:type="pct"/>
            <w:gridSpan w:val="2"/>
            <w:vAlign w:val="center"/>
          </w:tcPr>
          <w:p w14:paraId="4CB25EA0" w14:textId="77777777" w:rsidR="00291196" w:rsidRPr="00A079CB" w:rsidRDefault="00291196" w:rsidP="00DA51EE">
            <w:pPr>
              <w:ind w:firstLineChars="0" w:firstLine="0"/>
              <w:jc w:val="left"/>
              <w:rPr>
                <w:rFonts w:eastAsia="Arial"/>
                <w:b/>
                <w:bCs/>
                <w:color w:val="000000" w:themeColor="text1"/>
                <w:sz w:val="18"/>
                <w:szCs w:val="18"/>
                <w:lang w:val="en-GB"/>
              </w:rPr>
            </w:pPr>
            <w:r w:rsidRPr="00A079CB">
              <w:rPr>
                <w:rFonts w:eastAsia="Arial"/>
                <w:b/>
                <w:bCs/>
                <w:color w:val="000000" w:themeColor="text1"/>
                <w:sz w:val="18"/>
                <w:szCs w:val="18"/>
                <w:lang w:val="en-GB"/>
              </w:rPr>
              <w:t>Analyses</w:t>
            </w:r>
          </w:p>
        </w:tc>
      </w:tr>
      <w:tr w:rsidR="00A079CB" w:rsidRPr="00A079CB" w14:paraId="0CF1490C" w14:textId="77777777" w:rsidTr="000E7B24">
        <w:tc>
          <w:tcPr>
            <w:tcW w:w="1507" w:type="pct"/>
          </w:tcPr>
          <w:p w14:paraId="7AEB6CA7"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Microscope</w:t>
            </w:r>
          </w:p>
        </w:tc>
        <w:tc>
          <w:tcPr>
            <w:tcW w:w="920" w:type="pct"/>
          </w:tcPr>
          <w:p w14:paraId="34B44DA9" w14:textId="3884B0EF" w:rsidR="00291196" w:rsidRPr="00A079CB" w:rsidRDefault="000C5D98" w:rsidP="00DA51EE">
            <w:pPr>
              <w:ind w:firstLineChars="0" w:firstLine="0"/>
              <w:jc w:val="left"/>
              <w:rPr>
                <w:rFonts w:eastAsia="Arial"/>
                <w:color w:val="000000" w:themeColor="text1"/>
                <w:sz w:val="18"/>
                <w:szCs w:val="18"/>
                <w:lang w:val="en-GB"/>
              </w:rPr>
            </w:pPr>
            <w:r>
              <w:rPr>
                <w:rFonts w:eastAsia="Arial"/>
                <w:color w:val="000000" w:themeColor="text1"/>
                <w:sz w:val="18"/>
                <w:szCs w:val="18"/>
                <w:lang w:val="en-GB"/>
              </w:rPr>
              <w:t>Olympus</w:t>
            </w:r>
            <w:r w:rsidR="000E7B24" w:rsidRPr="00A079CB">
              <w:rPr>
                <w:rFonts w:eastAsia="Arial"/>
                <w:color w:val="000000" w:themeColor="text1"/>
                <w:sz w:val="18"/>
                <w:szCs w:val="18"/>
                <w:lang w:val="en-GB"/>
              </w:rPr>
              <w:t xml:space="preserve"> </w:t>
            </w:r>
            <w:r w:rsidR="00291196" w:rsidRPr="00A079CB">
              <w:rPr>
                <w:rFonts w:eastAsia="Arial"/>
                <w:color w:val="000000" w:themeColor="text1"/>
                <w:sz w:val="18"/>
                <w:szCs w:val="18"/>
                <w:lang w:val="en-GB"/>
              </w:rPr>
              <w:t>BX63</w:t>
            </w:r>
          </w:p>
        </w:tc>
        <w:tc>
          <w:tcPr>
            <w:tcW w:w="1027" w:type="pct"/>
          </w:tcPr>
          <w:p w14:paraId="04142424"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1-bromo, 3-chloropropane</w:t>
            </w:r>
          </w:p>
        </w:tc>
        <w:tc>
          <w:tcPr>
            <w:tcW w:w="1546" w:type="pct"/>
          </w:tcPr>
          <w:p w14:paraId="13BB211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ThermoScientific #106862500</w:t>
            </w:r>
          </w:p>
        </w:tc>
      </w:tr>
      <w:tr w:rsidR="00291196" w:rsidRPr="00A079CB" w14:paraId="6BACEA7A" w14:textId="77777777" w:rsidTr="000E7B24">
        <w:tc>
          <w:tcPr>
            <w:tcW w:w="1507" w:type="pct"/>
          </w:tcPr>
          <w:p w14:paraId="1F8C1519"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Quant Studio 6 instrument</w:t>
            </w:r>
          </w:p>
        </w:tc>
        <w:tc>
          <w:tcPr>
            <w:tcW w:w="920" w:type="pct"/>
          </w:tcPr>
          <w:p w14:paraId="5C121B59" w14:textId="3ADC370F" w:rsidR="00291196" w:rsidRPr="00A079CB" w:rsidRDefault="000C5D98" w:rsidP="00DA51EE">
            <w:pPr>
              <w:ind w:firstLineChars="0" w:firstLine="0"/>
              <w:jc w:val="left"/>
              <w:rPr>
                <w:rFonts w:eastAsia="Arial"/>
                <w:color w:val="000000" w:themeColor="text1"/>
                <w:sz w:val="18"/>
                <w:szCs w:val="18"/>
                <w:lang w:val="en-GB"/>
              </w:rPr>
            </w:pPr>
            <w:r w:rsidRPr="000C5D98">
              <w:rPr>
                <w:rFonts w:eastAsia="Arial"/>
                <w:color w:val="000000" w:themeColor="text1"/>
                <w:sz w:val="18"/>
                <w:szCs w:val="18"/>
              </w:rPr>
              <w:t>Applied Biosystems</w:t>
            </w:r>
          </w:p>
        </w:tc>
        <w:tc>
          <w:tcPr>
            <w:tcW w:w="1027" w:type="pct"/>
          </w:tcPr>
          <w:p w14:paraId="3DB0192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Chondroitin 4-sulfate sodium salt</w:t>
            </w:r>
          </w:p>
        </w:tc>
        <w:tc>
          <w:tcPr>
            <w:tcW w:w="1546" w:type="pct"/>
          </w:tcPr>
          <w:p w14:paraId="27C27FC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Fluka BioChemika, #27042</w:t>
            </w:r>
          </w:p>
        </w:tc>
      </w:tr>
      <w:tr w:rsidR="00291196" w:rsidRPr="00A079CB" w14:paraId="1CAA649D" w14:textId="77777777" w:rsidTr="000E7B24">
        <w:tc>
          <w:tcPr>
            <w:tcW w:w="1507" w:type="pct"/>
          </w:tcPr>
          <w:p w14:paraId="63AC4DD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Tissue lyser (oscillating mill)</w:t>
            </w:r>
          </w:p>
        </w:tc>
        <w:tc>
          <w:tcPr>
            <w:tcW w:w="920" w:type="pct"/>
          </w:tcPr>
          <w:p w14:paraId="643242B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Retsch, MM400</w:t>
            </w:r>
          </w:p>
        </w:tc>
        <w:tc>
          <w:tcPr>
            <w:tcW w:w="1027" w:type="pct"/>
          </w:tcPr>
          <w:p w14:paraId="77371124"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1,9 Dimethy-methylene blue </w:t>
            </w:r>
          </w:p>
        </w:tc>
        <w:tc>
          <w:tcPr>
            <w:tcW w:w="1546" w:type="pct"/>
          </w:tcPr>
          <w:p w14:paraId="1699930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Aldrich #341088</w:t>
            </w:r>
          </w:p>
        </w:tc>
      </w:tr>
      <w:tr w:rsidR="00291196" w:rsidRPr="00A079CB" w14:paraId="1E4A95BB" w14:textId="77777777" w:rsidTr="000E7B24">
        <w:tc>
          <w:tcPr>
            <w:tcW w:w="1507" w:type="pct"/>
          </w:tcPr>
          <w:p w14:paraId="4FE2922F" w14:textId="77777777" w:rsidR="00291196" w:rsidRPr="00A079CB" w:rsidRDefault="00291196" w:rsidP="00DA51EE">
            <w:pPr>
              <w:ind w:firstLine="360"/>
              <w:jc w:val="left"/>
              <w:rPr>
                <w:rFonts w:eastAsia="Arial"/>
                <w:color w:val="000000" w:themeColor="text1"/>
                <w:sz w:val="18"/>
                <w:szCs w:val="18"/>
                <w:lang w:val="en-GB"/>
              </w:rPr>
            </w:pPr>
          </w:p>
        </w:tc>
        <w:tc>
          <w:tcPr>
            <w:tcW w:w="920" w:type="pct"/>
          </w:tcPr>
          <w:p w14:paraId="420EE2ED" w14:textId="77777777" w:rsidR="00291196" w:rsidRPr="00A079CB" w:rsidRDefault="00291196" w:rsidP="00DA51EE">
            <w:pPr>
              <w:ind w:firstLine="360"/>
              <w:jc w:val="left"/>
              <w:rPr>
                <w:rFonts w:eastAsia="Arial"/>
                <w:color w:val="000000" w:themeColor="text1"/>
                <w:sz w:val="18"/>
                <w:szCs w:val="18"/>
                <w:lang w:val="en-GB"/>
              </w:rPr>
            </w:pPr>
          </w:p>
        </w:tc>
        <w:tc>
          <w:tcPr>
            <w:tcW w:w="1027" w:type="pct"/>
          </w:tcPr>
          <w:p w14:paraId="50246D5F"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Ethidium homodimer </w:t>
            </w:r>
          </w:p>
        </w:tc>
        <w:tc>
          <w:tcPr>
            <w:tcW w:w="1546" w:type="pct"/>
          </w:tcPr>
          <w:p w14:paraId="2084B619"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Sigma-Aldrich #46043 (1mg/mL in DMSO)</w:t>
            </w:r>
          </w:p>
        </w:tc>
      </w:tr>
      <w:tr w:rsidR="00291196" w:rsidRPr="00A079CB" w14:paraId="3E4ED5F0" w14:textId="77777777" w:rsidTr="000E7B24">
        <w:tc>
          <w:tcPr>
            <w:tcW w:w="1507" w:type="pct"/>
          </w:tcPr>
          <w:p w14:paraId="2E5EE6B3" w14:textId="77777777" w:rsidR="00291196" w:rsidRPr="00A079CB" w:rsidRDefault="00291196" w:rsidP="00DA51EE">
            <w:pPr>
              <w:ind w:firstLine="360"/>
              <w:jc w:val="left"/>
              <w:rPr>
                <w:rFonts w:eastAsia="Arial"/>
                <w:color w:val="000000" w:themeColor="text1"/>
                <w:sz w:val="18"/>
                <w:szCs w:val="18"/>
                <w:lang w:val="en-GB"/>
              </w:rPr>
            </w:pPr>
          </w:p>
        </w:tc>
        <w:tc>
          <w:tcPr>
            <w:tcW w:w="920" w:type="pct"/>
          </w:tcPr>
          <w:p w14:paraId="09C52A9C" w14:textId="77777777" w:rsidR="00291196" w:rsidRPr="00A079CB" w:rsidRDefault="00291196" w:rsidP="00DA51EE">
            <w:pPr>
              <w:ind w:firstLine="360"/>
              <w:jc w:val="left"/>
              <w:rPr>
                <w:rFonts w:eastAsia="Arial"/>
                <w:color w:val="000000" w:themeColor="text1"/>
                <w:sz w:val="18"/>
                <w:szCs w:val="18"/>
                <w:lang w:val="en-GB"/>
              </w:rPr>
            </w:pPr>
          </w:p>
        </w:tc>
        <w:tc>
          <w:tcPr>
            <w:tcW w:w="1027" w:type="pct"/>
          </w:tcPr>
          <w:p w14:paraId="6C006462"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Fast Green</w:t>
            </w:r>
          </w:p>
        </w:tc>
        <w:tc>
          <w:tcPr>
            <w:tcW w:w="1546" w:type="pct"/>
          </w:tcPr>
          <w:p w14:paraId="6617E8E7"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 #F7258; 1%</w:t>
            </w:r>
          </w:p>
        </w:tc>
      </w:tr>
      <w:tr w:rsidR="000C5D98" w:rsidRPr="00A079CB" w14:paraId="0BC176C0" w14:textId="77777777" w:rsidTr="000E7B24">
        <w:tc>
          <w:tcPr>
            <w:tcW w:w="1507" w:type="pct"/>
          </w:tcPr>
          <w:p w14:paraId="4C4733AA" w14:textId="77777777" w:rsidR="000C5D98" w:rsidRPr="00A079CB" w:rsidRDefault="000C5D98" w:rsidP="00DA51EE">
            <w:pPr>
              <w:ind w:firstLine="360"/>
              <w:jc w:val="left"/>
              <w:rPr>
                <w:rFonts w:eastAsia="Arial"/>
                <w:color w:val="000000" w:themeColor="text1"/>
                <w:sz w:val="18"/>
                <w:szCs w:val="18"/>
                <w:lang w:val="en-GB"/>
              </w:rPr>
            </w:pPr>
          </w:p>
        </w:tc>
        <w:tc>
          <w:tcPr>
            <w:tcW w:w="920" w:type="pct"/>
          </w:tcPr>
          <w:p w14:paraId="6295D400" w14:textId="77777777" w:rsidR="000C5D98" w:rsidRPr="00A079CB" w:rsidRDefault="000C5D98" w:rsidP="00DA51EE">
            <w:pPr>
              <w:ind w:firstLine="360"/>
              <w:jc w:val="left"/>
              <w:rPr>
                <w:rFonts w:eastAsia="Arial"/>
                <w:color w:val="000000" w:themeColor="text1"/>
                <w:sz w:val="18"/>
                <w:szCs w:val="18"/>
                <w:lang w:val="en-GB"/>
              </w:rPr>
            </w:pPr>
          </w:p>
        </w:tc>
        <w:tc>
          <w:tcPr>
            <w:tcW w:w="1027" w:type="pct"/>
          </w:tcPr>
          <w:p w14:paraId="28F2FCA3" w14:textId="242509F3" w:rsidR="000C5D98" w:rsidRPr="00A079CB" w:rsidRDefault="000C5D98" w:rsidP="00DA51EE">
            <w:pPr>
              <w:ind w:firstLineChars="0" w:firstLine="0"/>
              <w:jc w:val="left"/>
              <w:rPr>
                <w:rFonts w:eastAsia="Arial"/>
                <w:color w:val="000000" w:themeColor="text1"/>
                <w:sz w:val="18"/>
                <w:szCs w:val="18"/>
                <w:lang w:val="en-GB"/>
              </w:rPr>
            </w:pPr>
            <w:r w:rsidRPr="000C5D98">
              <w:rPr>
                <w:rFonts w:eastAsia="Arial"/>
                <w:color w:val="000000" w:themeColor="text1"/>
                <w:sz w:val="18"/>
                <w:szCs w:val="18"/>
              </w:rPr>
              <w:t>Gene Expression Master Mix</w:t>
            </w:r>
            <w:r>
              <w:rPr>
                <w:rFonts w:eastAsia="Arial"/>
                <w:color w:val="000000" w:themeColor="text1"/>
                <w:sz w:val="18"/>
                <w:szCs w:val="18"/>
              </w:rPr>
              <w:t xml:space="preserve"> (</w:t>
            </w:r>
            <w:r w:rsidRPr="000C5D98">
              <w:rPr>
                <w:rFonts w:eastAsia="Arial"/>
                <w:color w:val="000000" w:themeColor="text1"/>
                <w:sz w:val="18"/>
                <w:szCs w:val="18"/>
              </w:rPr>
              <w:t>TaqMan</w:t>
            </w:r>
            <w:r>
              <w:rPr>
                <w:rFonts w:eastAsia="Arial"/>
                <w:color w:val="000000" w:themeColor="text1"/>
                <w:sz w:val="18"/>
                <w:szCs w:val="18"/>
              </w:rPr>
              <w:t>)</w:t>
            </w:r>
          </w:p>
        </w:tc>
        <w:tc>
          <w:tcPr>
            <w:tcW w:w="1546" w:type="pct"/>
          </w:tcPr>
          <w:p w14:paraId="0CD2BDA1" w14:textId="0C23E7E5" w:rsidR="000C5D98" w:rsidRPr="00A079CB" w:rsidRDefault="000C5D98" w:rsidP="00DA51EE">
            <w:pPr>
              <w:ind w:firstLineChars="0" w:firstLine="0"/>
              <w:jc w:val="left"/>
              <w:rPr>
                <w:rFonts w:eastAsia="Arial"/>
                <w:color w:val="000000" w:themeColor="text1"/>
                <w:sz w:val="18"/>
                <w:szCs w:val="18"/>
                <w:lang w:val="en-GB"/>
              </w:rPr>
            </w:pPr>
            <w:r w:rsidRPr="0064577E">
              <w:rPr>
                <w:rFonts w:eastAsia="Arial"/>
                <w:color w:val="000000" w:themeColor="text1"/>
                <w:sz w:val="18"/>
                <w:szCs w:val="18"/>
                <w:lang w:val="en-GB"/>
              </w:rPr>
              <w:t>ThermoScientific #4370074</w:t>
            </w:r>
          </w:p>
        </w:tc>
      </w:tr>
      <w:tr w:rsidR="00291196" w:rsidRPr="00A079CB" w14:paraId="6101CF2C" w14:textId="77777777" w:rsidTr="000E7B24">
        <w:tc>
          <w:tcPr>
            <w:tcW w:w="2427" w:type="pct"/>
            <w:gridSpan w:val="2"/>
            <w:tcBorders>
              <w:bottom w:val="single" w:sz="8" w:space="0" w:color="auto"/>
            </w:tcBorders>
          </w:tcPr>
          <w:p w14:paraId="717220DE"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b/>
                <w:bCs/>
                <w:color w:val="000000" w:themeColor="text1"/>
                <w:sz w:val="18"/>
                <w:szCs w:val="18"/>
                <w:lang w:val="en-GB"/>
              </w:rPr>
              <w:t>Consumables</w:t>
            </w:r>
          </w:p>
        </w:tc>
        <w:tc>
          <w:tcPr>
            <w:tcW w:w="1027" w:type="pct"/>
          </w:tcPr>
          <w:p w14:paraId="4263C5D5"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Lactate dehydrogenase</w:t>
            </w:r>
          </w:p>
        </w:tc>
        <w:tc>
          <w:tcPr>
            <w:tcW w:w="1546" w:type="pct"/>
          </w:tcPr>
          <w:p w14:paraId="08A9467D"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Roth #4421.4</w:t>
            </w:r>
          </w:p>
        </w:tc>
      </w:tr>
      <w:tr w:rsidR="00291196" w:rsidRPr="00A079CB" w14:paraId="2B9F047F" w14:textId="77777777" w:rsidTr="000E7B24">
        <w:tc>
          <w:tcPr>
            <w:tcW w:w="2427" w:type="pct"/>
            <w:gridSpan w:val="2"/>
            <w:tcBorders>
              <w:top w:val="single" w:sz="8" w:space="0" w:color="auto"/>
            </w:tcBorders>
          </w:tcPr>
          <w:p w14:paraId="1D75B9CE" w14:textId="77777777" w:rsidR="00291196" w:rsidRPr="00A079CB" w:rsidRDefault="00291196" w:rsidP="00DA51EE">
            <w:pPr>
              <w:ind w:firstLineChars="0" w:firstLine="0"/>
              <w:jc w:val="left"/>
              <w:rPr>
                <w:rFonts w:eastAsia="Arial"/>
                <w:b/>
                <w:bCs/>
                <w:color w:val="000000" w:themeColor="text1"/>
                <w:sz w:val="18"/>
                <w:szCs w:val="18"/>
                <w:lang w:val="en-GB"/>
              </w:rPr>
            </w:pPr>
            <w:r w:rsidRPr="00A079CB">
              <w:rPr>
                <w:rFonts w:eastAsia="Arial"/>
                <w:b/>
                <w:bCs/>
                <w:color w:val="000000" w:themeColor="text1"/>
                <w:sz w:val="18"/>
                <w:szCs w:val="18"/>
                <w:lang w:val="en-GB"/>
              </w:rPr>
              <w:t>Disc cultures</w:t>
            </w:r>
          </w:p>
        </w:tc>
        <w:tc>
          <w:tcPr>
            <w:tcW w:w="1027" w:type="pct"/>
          </w:tcPr>
          <w:p w14:paraId="4865E01D"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Methanol</w:t>
            </w:r>
          </w:p>
        </w:tc>
        <w:tc>
          <w:tcPr>
            <w:tcW w:w="1546" w:type="pct"/>
          </w:tcPr>
          <w:p w14:paraId="07538EEE" w14:textId="4F4BB86E" w:rsidR="00291196" w:rsidRPr="00A079CB" w:rsidRDefault="00DE0773" w:rsidP="00DA51EE">
            <w:pPr>
              <w:ind w:firstLineChars="0" w:firstLine="0"/>
              <w:jc w:val="left"/>
              <w:rPr>
                <w:rFonts w:eastAsia="Arial"/>
                <w:color w:val="000000" w:themeColor="text1"/>
                <w:sz w:val="18"/>
                <w:szCs w:val="18"/>
                <w:lang w:val="en-GB"/>
              </w:rPr>
            </w:pPr>
            <w:r>
              <w:rPr>
                <w:rFonts w:eastAsia="Arial"/>
                <w:color w:val="000000" w:themeColor="text1"/>
                <w:sz w:val="18"/>
                <w:szCs w:val="18"/>
                <w:lang w:val="en-GB"/>
              </w:rPr>
              <w:t xml:space="preserve">Alcosuisse </w:t>
            </w:r>
            <w:r w:rsidR="00291196" w:rsidRPr="00A079CB">
              <w:rPr>
                <w:rFonts w:eastAsia="Arial"/>
                <w:color w:val="000000" w:themeColor="text1"/>
                <w:sz w:val="18"/>
                <w:szCs w:val="18"/>
                <w:lang w:val="en-GB"/>
              </w:rPr>
              <w:t>#16294-550</w:t>
            </w:r>
          </w:p>
        </w:tc>
      </w:tr>
      <w:tr w:rsidR="00291196" w:rsidRPr="00A079CB" w14:paraId="380FCC84" w14:textId="77777777" w:rsidTr="000E7B24">
        <w:tc>
          <w:tcPr>
            <w:tcW w:w="1507" w:type="pct"/>
          </w:tcPr>
          <w:p w14:paraId="0E7C534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Ascorbate 2-phosphate</w:t>
            </w:r>
          </w:p>
        </w:tc>
        <w:tc>
          <w:tcPr>
            <w:tcW w:w="920" w:type="pct"/>
          </w:tcPr>
          <w:p w14:paraId="5293AE26"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 #A8960</w:t>
            </w:r>
          </w:p>
        </w:tc>
        <w:tc>
          <w:tcPr>
            <w:tcW w:w="1027" w:type="pct"/>
          </w:tcPr>
          <w:p w14:paraId="068CBC1A"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Pronase </w:t>
            </w:r>
          </w:p>
        </w:tc>
        <w:tc>
          <w:tcPr>
            <w:tcW w:w="1546" w:type="pct"/>
          </w:tcPr>
          <w:p w14:paraId="6018F22F"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Roche #11459643001 (2mg/mL; 5mL/100mg tissue)</w:t>
            </w:r>
          </w:p>
        </w:tc>
      </w:tr>
      <w:tr w:rsidR="00291196" w:rsidRPr="00A079CB" w14:paraId="6035FEA1" w14:textId="77777777" w:rsidTr="000E7B24">
        <w:tc>
          <w:tcPr>
            <w:tcW w:w="1507" w:type="pct"/>
          </w:tcPr>
          <w:p w14:paraId="5125BCD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Dulbecco’s Modified Eagle Medium High Glucose (DMEM HG)</w:t>
            </w:r>
          </w:p>
        </w:tc>
        <w:tc>
          <w:tcPr>
            <w:tcW w:w="920" w:type="pct"/>
          </w:tcPr>
          <w:p w14:paraId="2FC9881A"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Gibco #52100-039</w:t>
            </w:r>
          </w:p>
        </w:tc>
        <w:tc>
          <w:tcPr>
            <w:tcW w:w="1027" w:type="pct"/>
          </w:tcPr>
          <w:p w14:paraId="61770FAE"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Proteinase K</w:t>
            </w:r>
          </w:p>
        </w:tc>
        <w:tc>
          <w:tcPr>
            <w:tcW w:w="1546" w:type="pct"/>
          </w:tcPr>
          <w:p w14:paraId="2FA175EE"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Roche #03115852001 (1mg/mL; 1mL proteinase K solution/10mg dry tissue)</w:t>
            </w:r>
          </w:p>
        </w:tc>
      </w:tr>
      <w:tr w:rsidR="00291196" w:rsidRPr="00A079CB" w14:paraId="170C269F" w14:textId="77777777" w:rsidTr="000E7B24">
        <w:tc>
          <w:tcPr>
            <w:tcW w:w="1507" w:type="pct"/>
          </w:tcPr>
          <w:p w14:paraId="1276582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Fetal Bovine Serum (FBS)</w:t>
            </w:r>
          </w:p>
        </w:tc>
        <w:tc>
          <w:tcPr>
            <w:tcW w:w="920" w:type="pct"/>
          </w:tcPr>
          <w:p w14:paraId="6120BF0F"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Corning #35-079-CV</w:t>
            </w:r>
          </w:p>
        </w:tc>
        <w:tc>
          <w:tcPr>
            <w:tcW w:w="1027" w:type="pct"/>
          </w:tcPr>
          <w:p w14:paraId="404E9C0F"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RNeasy spin column </w:t>
            </w:r>
          </w:p>
        </w:tc>
        <w:tc>
          <w:tcPr>
            <w:tcW w:w="1546" w:type="pct"/>
          </w:tcPr>
          <w:p w14:paraId="22C5BDB9"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Qiagen RNeasy Mini #74106</w:t>
            </w:r>
          </w:p>
        </w:tc>
      </w:tr>
      <w:tr w:rsidR="00291196" w:rsidRPr="00A079CB" w14:paraId="29B19CE0" w14:textId="77777777" w:rsidTr="000E7B24">
        <w:tc>
          <w:tcPr>
            <w:tcW w:w="1507" w:type="pct"/>
          </w:tcPr>
          <w:p w14:paraId="48324F05"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Hepes</w:t>
            </w:r>
          </w:p>
        </w:tc>
        <w:tc>
          <w:tcPr>
            <w:tcW w:w="920" w:type="pct"/>
          </w:tcPr>
          <w:p w14:paraId="4D0E419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Gibco #15630-056</w:t>
            </w:r>
          </w:p>
        </w:tc>
        <w:tc>
          <w:tcPr>
            <w:tcW w:w="1027" w:type="pct"/>
          </w:tcPr>
          <w:p w14:paraId="36F62DD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Safranin O</w:t>
            </w:r>
          </w:p>
        </w:tc>
        <w:tc>
          <w:tcPr>
            <w:tcW w:w="1546" w:type="pct"/>
          </w:tcPr>
          <w:p w14:paraId="1D498CF7"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 #S8884; 0.1%</w:t>
            </w:r>
          </w:p>
        </w:tc>
      </w:tr>
      <w:tr w:rsidR="00291196" w:rsidRPr="00A079CB" w14:paraId="5D69E000" w14:textId="77777777" w:rsidTr="000E7B24">
        <w:tc>
          <w:tcPr>
            <w:tcW w:w="1507" w:type="pct"/>
          </w:tcPr>
          <w:p w14:paraId="1DDBF93F"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ITS+Premix</w:t>
            </w:r>
          </w:p>
        </w:tc>
        <w:tc>
          <w:tcPr>
            <w:tcW w:w="920" w:type="pct"/>
          </w:tcPr>
          <w:p w14:paraId="1AF59E63"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Corning #354352</w:t>
            </w:r>
          </w:p>
        </w:tc>
        <w:tc>
          <w:tcPr>
            <w:tcW w:w="1027" w:type="pct"/>
          </w:tcPr>
          <w:p w14:paraId="5BC9EDCA"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SuperScript VILO cDNA Synthesis Kit </w:t>
            </w:r>
          </w:p>
        </w:tc>
        <w:tc>
          <w:tcPr>
            <w:tcW w:w="1546" w:type="pct"/>
          </w:tcPr>
          <w:p w14:paraId="6CB4569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Invitrogen #11754</w:t>
            </w:r>
          </w:p>
        </w:tc>
      </w:tr>
      <w:tr w:rsidR="00291196" w:rsidRPr="00A079CB" w14:paraId="172F8B9C" w14:textId="77777777" w:rsidTr="000E7B24">
        <w:tc>
          <w:tcPr>
            <w:tcW w:w="1507" w:type="pct"/>
          </w:tcPr>
          <w:p w14:paraId="41C34C6C"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Krebs-Ringer solution </w:t>
            </w:r>
          </w:p>
        </w:tc>
        <w:tc>
          <w:tcPr>
            <w:tcW w:w="920" w:type="pct"/>
          </w:tcPr>
          <w:p w14:paraId="7C579EB3"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BBraun #FREU924</w:t>
            </w:r>
          </w:p>
        </w:tc>
        <w:tc>
          <w:tcPr>
            <w:tcW w:w="1027" w:type="pct"/>
          </w:tcPr>
          <w:p w14:paraId="48704691"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 xml:space="preserve">TRI Reagent™ </w:t>
            </w:r>
          </w:p>
        </w:tc>
        <w:tc>
          <w:tcPr>
            <w:tcW w:w="1546" w:type="pct"/>
          </w:tcPr>
          <w:p w14:paraId="1650072A"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Molecular Research Center #TR118</w:t>
            </w:r>
          </w:p>
        </w:tc>
      </w:tr>
      <w:tr w:rsidR="00291196" w:rsidRPr="00A079CB" w14:paraId="294910B7" w14:textId="77777777" w:rsidTr="000E7B24">
        <w:tc>
          <w:tcPr>
            <w:tcW w:w="1507" w:type="pct"/>
          </w:tcPr>
          <w:p w14:paraId="160B9FBD"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Minimum Essential Medium Non-Essential Amino Acids Solution (MEM NEAA)</w:t>
            </w:r>
          </w:p>
        </w:tc>
        <w:tc>
          <w:tcPr>
            <w:tcW w:w="920" w:type="pct"/>
          </w:tcPr>
          <w:p w14:paraId="56FBD4C0"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Gibco #11140-035</w:t>
            </w:r>
          </w:p>
        </w:tc>
        <w:tc>
          <w:tcPr>
            <w:tcW w:w="1027" w:type="pct"/>
          </w:tcPr>
          <w:p w14:paraId="161DA158" w14:textId="77777777" w:rsidR="00291196" w:rsidRPr="00A079CB" w:rsidRDefault="00291196" w:rsidP="00DA51EE">
            <w:pPr>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Weigert's Haematoxylin</w:t>
            </w:r>
          </w:p>
        </w:tc>
        <w:tc>
          <w:tcPr>
            <w:tcW w:w="1546" w:type="pct"/>
          </w:tcPr>
          <w:p w14:paraId="09C36D69" w14:textId="77777777" w:rsidR="00291196" w:rsidRPr="00A079CB" w:rsidRDefault="00291196" w:rsidP="00DA51EE">
            <w:pPr>
              <w:tabs>
                <w:tab w:val="center" w:pos="1025"/>
              </w:tabs>
              <w:ind w:firstLineChars="0" w:firstLine="0"/>
              <w:jc w:val="left"/>
              <w:rPr>
                <w:rFonts w:eastAsia="Arial"/>
                <w:color w:val="000000" w:themeColor="text1"/>
                <w:sz w:val="18"/>
                <w:szCs w:val="18"/>
                <w:lang w:val="en-GB"/>
              </w:rPr>
            </w:pPr>
            <w:r w:rsidRPr="00A079CB">
              <w:rPr>
                <w:rFonts w:eastAsia="Arial"/>
                <w:color w:val="000000" w:themeColor="text1"/>
                <w:sz w:val="18"/>
                <w:szCs w:val="18"/>
                <w:lang w:val="en-GB"/>
              </w:rPr>
              <w:t>Sigma #HT1079</w:t>
            </w:r>
          </w:p>
        </w:tc>
      </w:tr>
    </w:tbl>
    <w:p w14:paraId="7312FF77" w14:textId="77777777" w:rsidR="00291196" w:rsidRPr="00A079CB" w:rsidRDefault="00291196" w:rsidP="00291196">
      <w:pPr>
        <w:pStyle w:val="affc"/>
        <w:suppressLineNumbers/>
        <w:spacing w:before="0" w:after="0"/>
        <w:rPr>
          <w:rFonts w:eastAsia="宋体"/>
          <w:b w:val="0"/>
          <w:color w:val="000000" w:themeColor="text1"/>
          <w:sz w:val="21"/>
          <w:szCs w:val="20"/>
          <w:lang w:val="en-GB"/>
        </w:rPr>
      </w:pPr>
    </w:p>
    <w:p w14:paraId="3ADF60E8" w14:textId="77777777" w:rsidR="00291196" w:rsidRPr="00A079CB" w:rsidRDefault="00291196" w:rsidP="00291196">
      <w:pPr>
        <w:pStyle w:val="affc"/>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xml:space="preserve">Medium adapted from Dulbecco’s Modified Eagle Medium High Glucose </w:t>
      </w:r>
    </w:p>
    <w:p w14:paraId="269574AE" w14:textId="77777777" w:rsidR="00291196" w:rsidRPr="00A079CB" w:rsidRDefault="00291196" w:rsidP="00291196">
      <w:pPr>
        <w:pStyle w:val="affc"/>
        <w:numPr>
          <w:ilvl w:val="0"/>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DMEM HG 13.38g/L</w:t>
      </w:r>
    </w:p>
    <w:p w14:paraId="4EAA0D3A" w14:textId="77777777" w:rsidR="00291196" w:rsidRPr="00A079CB" w:rsidRDefault="00291196" w:rsidP="00291196">
      <w:pPr>
        <w:pStyle w:val="affc"/>
        <w:numPr>
          <w:ilvl w:val="0"/>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Sodium bicarbonate 3.7g/L</w:t>
      </w:r>
    </w:p>
    <w:p w14:paraId="6CCA57FD" w14:textId="77777777" w:rsidR="00291196" w:rsidRPr="00A079CB" w:rsidRDefault="00291196" w:rsidP="00291196">
      <w:pPr>
        <w:pStyle w:val="affc"/>
        <w:numPr>
          <w:ilvl w:val="0"/>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xml:space="preserve">Sodium pyruvate 0.11g/L </w:t>
      </w:r>
    </w:p>
    <w:p w14:paraId="299E70A9" w14:textId="77777777" w:rsidR="00291196" w:rsidRPr="00A079CB" w:rsidRDefault="00291196" w:rsidP="00291196">
      <w:pPr>
        <w:pStyle w:val="affc"/>
        <w:numPr>
          <w:ilvl w:val="0"/>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+ 1% P/S</w:t>
      </w:r>
    </w:p>
    <w:p w14:paraId="3E54BEAA" w14:textId="77777777" w:rsidR="00291196" w:rsidRPr="00A079CB" w:rsidRDefault="00291196" w:rsidP="00291196">
      <w:pPr>
        <w:pStyle w:val="affc"/>
        <w:numPr>
          <w:ilvl w:val="0"/>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xml:space="preserve">+ additives </w:t>
      </w:r>
    </w:p>
    <w:p w14:paraId="54234D3C" w14:textId="77777777" w:rsidR="00291196" w:rsidRPr="00A079CB" w:rsidRDefault="00291196" w:rsidP="00291196">
      <w:pPr>
        <w:pStyle w:val="affc"/>
        <w:numPr>
          <w:ilvl w:val="1"/>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xml:space="preserve">FBS 2% </w:t>
      </w:r>
    </w:p>
    <w:p w14:paraId="6956C997" w14:textId="77777777" w:rsidR="00291196" w:rsidRPr="00A079CB" w:rsidRDefault="00291196" w:rsidP="00291196">
      <w:pPr>
        <w:pStyle w:val="affc"/>
        <w:numPr>
          <w:ilvl w:val="1"/>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Hepes 1%</w:t>
      </w:r>
    </w:p>
    <w:p w14:paraId="41809B0B" w14:textId="77777777" w:rsidR="00291196" w:rsidRPr="00A079CB" w:rsidRDefault="00291196" w:rsidP="00291196">
      <w:pPr>
        <w:pStyle w:val="affc"/>
        <w:numPr>
          <w:ilvl w:val="1"/>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xml:space="preserve">MEM NEAA 1% </w:t>
      </w:r>
    </w:p>
    <w:p w14:paraId="7DC8D221" w14:textId="77777777" w:rsidR="00291196" w:rsidRPr="00A079CB" w:rsidRDefault="00291196" w:rsidP="00291196">
      <w:pPr>
        <w:pStyle w:val="affc"/>
        <w:numPr>
          <w:ilvl w:val="1"/>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ITS+Premix 1%</w:t>
      </w:r>
    </w:p>
    <w:p w14:paraId="1C3233BA" w14:textId="77777777" w:rsidR="00291196" w:rsidRPr="00A079CB" w:rsidRDefault="00291196" w:rsidP="00291196">
      <w:pPr>
        <w:pStyle w:val="affc"/>
        <w:numPr>
          <w:ilvl w:val="1"/>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 xml:space="preserve">Ascorbate 2-phosphate 0.1% </w:t>
      </w:r>
    </w:p>
    <w:p w14:paraId="4CF7243C" w14:textId="77777777" w:rsidR="00291196" w:rsidRPr="00A079CB" w:rsidRDefault="00291196" w:rsidP="00291196">
      <w:pPr>
        <w:pStyle w:val="affc"/>
        <w:numPr>
          <w:ilvl w:val="1"/>
          <w:numId w:val="2"/>
        </w:numPr>
        <w:spacing w:before="0" w:after="0"/>
        <w:rPr>
          <w:rFonts w:eastAsia="宋体"/>
          <w:b w:val="0"/>
          <w:color w:val="000000" w:themeColor="text1"/>
          <w:sz w:val="21"/>
          <w:szCs w:val="20"/>
          <w:lang w:val="en-GB"/>
        </w:rPr>
      </w:pPr>
      <w:r w:rsidRPr="00A079CB">
        <w:rPr>
          <w:rFonts w:eastAsia="宋体"/>
          <w:b w:val="0"/>
          <w:color w:val="000000" w:themeColor="text1"/>
          <w:sz w:val="21"/>
          <w:szCs w:val="20"/>
          <w:lang w:val="en-GB"/>
        </w:rPr>
        <w:t>Primocin 0.1%</w:t>
      </w:r>
    </w:p>
    <w:p w14:paraId="4035FE71" w14:textId="77777777" w:rsidR="00291196" w:rsidRPr="00A079CB" w:rsidRDefault="00291196" w:rsidP="00291196">
      <w:pPr>
        <w:pStyle w:val="a6"/>
        <w:ind w:firstLineChars="0" w:firstLine="0"/>
        <w:rPr>
          <w:rFonts w:eastAsia="宋体"/>
          <w:b/>
          <w:color w:val="000000" w:themeColor="text1"/>
          <w:lang w:val="en-GB"/>
        </w:rPr>
      </w:pPr>
      <w:r w:rsidRPr="00A079CB">
        <w:rPr>
          <w:rFonts w:eastAsia="宋体"/>
          <w:color w:val="000000" w:themeColor="text1"/>
          <w:lang w:val="en-GB"/>
        </w:rPr>
        <w:t>The pH of the medium after preparation was 7.4. The pH variation during the study was small (0.3), the pH of the collected medium oscillated between 7.1 and 7.7.</w:t>
      </w:r>
    </w:p>
    <w:p w14:paraId="726F1D6C" w14:textId="4CE3A002" w:rsidR="00291196" w:rsidRPr="00A079CB" w:rsidRDefault="00DE0773" w:rsidP="00291196">
      <w:pPr>
        <w:pStyle w:val="2"/>
        <w:rPr>
          <w:color w:val="000000" w:themeColor="text1"/>
          <w:lang w:val="en-GB"/>
        </w:rPr>
      </w:pPr>
      <w:r>
        <w:rPr>
          <w:color w:val="000000" w:themeColor="text1"/>
          <w:lang w:val="en-GB"/>
        </w:rPr>
        <w:t>S</w:t>
      </w:r>
      <w:r w:rsidR="00291196" w:rsidRPr="00A079CB">
        <w:rPr>
          <w:color w:val="000000" w:themeColor="text1"/>
          <w:lang w:val="en-GB"/>
        </w:rPr>
        <w:t>.M.2 Outcomes</w:t>
      </w:r>
    </w:p>
    <w:p w14:paraId="2BC8B96A" w14:textId="537E44EB" w:rsidR="00291196" w:rsidRPr="00A079CB" w:rsidRDefault="00DE0773" w:rsidP="00291196">
      <w:pPr>
        <w:pStyle w:val="3"/>
        <w:rPr>
          <w:color w:val="000000" w:themeColor="text1"/>
          <w:lang w:val="en-GB"/>
        </w:rPr>
      </w:pPr>
      <w:r>
        <w:rPr>
          <w:color w:val="000000" w:themeColor="text1"/>
          <w:lang w:val="en-GB"/>
        </w:rPr>
        <w:t>S</w:t>
      </w:r>
      <w:r w:rsidR="00291196" w:rsidRPr="00A079CB">
        <w:rPr>
          <w:color w:val="000000" w:themeColor="text1"/>
          <w:lang w:val="en-GB"/>
        </w:rPr>
        <w:t>.M.2.1 Viability cell counting workflow and validation</w:t>
      </w:r>
    </w:p>
    <w:p w14:paraId="4E7DD0AD" w14:textId="5268FBC4" w:rsidR="00291196" w:rsidRPr="00A079CB" w:rsidRDefault="00291196" w:rsidP="00291196">
      <w:pPr>
        <w:pStyle w:val="a6"/>
        <w:ind w:firstLineChars="0" w:firstLine="0"/>
        <w:rPr>
          <w:rFonts w:eastAsia="Arial"/>
          <w:color w:val="000000" w:themeColor="text1"/>
          <w:lang w:val="en-GB"/>
        </w:rPr>
      </w:pPr>
      <w:r w:rsidRPr="00A079CB">
        <w:rPr>
          <w:rFonts w:eastAsia="Arial"/>
          <w:color w:val="000000" w:themeColor="text1"/>
          <w:lang w:val="en-GB"/>
        </w:rPr>
        <w:t>Manual cell counting for viability purposes takes time and is prone to intra- and interobserver errors, which undermines the reproducibility of the measurement and consequently the comparison of results within the field. Moreover, workflows with manual thresholding are not recommended due to reproducibility flaws. We propose a workflow that includes automatic thresholding and counting of the blue, blue/red (or purple) and red cells</w:t>
      </w:r>
      <w:r w:rsidR="00B4525A">
        <w:rPr>
          <w:rFonts w:eastAsiaTheme="minorEastAsia" w:hint="eastAsia"/>
          <w:color w:val="000000" w:themeColor="text1"/>
          <w:lang w:val="en-GB"/>
        </w:rPr>
        <w:t xml:space="preserve"> </w:t>
      </w:r>
      <w:r w:rsidRPr="00A079CB">
        <w:rPr>
          <w:rFonts w:eastAsia="Arial"/>
          <w:color w:val="000000" w:themeColor="text1"/>
          <w:lang w:val="en-GB"/>
        </w:rPr>
        <w:fldChar w:fldCharType="begin"/>
      </w:r>
      <w:r w:rsidR="00B63C7E" w:rsidRPr="00A079CB">
        <w:rPr>
          <w:rFonts w:eastAsia="Arial"/>
          <w:color w:val="000000" w:themeColor="text1"/>
          <w:lang w:val="en-GB"/>
        </w:rPr>
        <w:instrText xml:space="preserve"> ADDIN EN.CITE &lt;EndNote&gt;&lt;Cite&gt;&lt;Author&gt;Bankhead&lt;/Author&gt;&lt;Year&gt;2013&lt;/Year&gt;&lt;RecNum&gt;7706&lt;/RecNum&gt;&lt;DisplayText&gt;[79]&lt;/DisplayText&gt;&lt;record&gt;&lt;rec-number&gt;7706&lt;/rec-number&gt;&lt;foreign-keys&gt;&lt;key app="EN" db-id="rveatavvhr2294edfx2xsxwndeszvxwt522p" timestamp="1717145812"&gt;7706&lt;/key&gt;&lt;/foreign-keys&gt;&lt;ref-type name="Unpublished Work"&gt;34&lt;/ref-type&gt;&lt;contributors&gt;&lt;authors&gt;&lt;author&gt;Bankhead, P.&lt;/author&gt;&lt;/authors&gt;&lt;/contributors&gt;&lt;titles&gt;&lt;title&gt;Analyzing fluorescence microscopy images with ImageJ&lt;/title&gt;&lt;tertiary-title&gt;Nikon Imaging Center&lt;/tertiary-title&gt;&lt;/titles&gt;&lt;pages&gt;187&lt;/pages&gt;&lt;dates&gt;&lt;year&gt;2013&lt;/year&gt;&lt;/dates&gt;&lt;publisher&gt;Heidelberg University&lt;/publisher&gt;&lt;urls&gt;&lt;/urls&gt;&lt;/record&gt;&lt;/Cite&gt;&lt;/EndNote&gt;</w:instrText>
      </w:r>
      <w:r w:rsidRPr="00A079CB">
        <w:rPr>
          <w:rFonts w:eastAsia="Arial"/>
          <w:color w:val="000000" w:themeColor="text1"/>
          <w:lang w:val="en-GB"/>
        </w:rPr>
        <w:fldChar w:fldCharType="separate"/>
      </w:r>
      <w:r w:rsidR="00B63C7E" w:rsidRPr="00A079CB">
        <w:rPr>
          <w:rFonts w:eastAsia="Arial"/>
          <w:noProof/>
          <w:color w:val="000000" w:themeColor="text1"/>
          <w:lang w:val="en-GB"/>
        </w:rPr>
        <w:t>[</w:t>
      </w:r>
      <w:r w:rsidR="00B4525A">
        <w:rPr>
          <w:rFonts w:eastAsiaTheme="minorEastAsia" w:hint="eastAsia"/>
          <w:noProof/>
          <w:color w:val="000000" w:themeColor="text1"/>
          <w:lang w:val="en-GB"/>
        </w:rPr>
        <w:t>80</w:t>
      </w:r>
      <w:r w:rsidR="00B63C7E" w:rsidRPr="00A079CB">
        <w:rPr>
          <w:rFonts w:eastAsia="Arial"/>
          <w:noProof/>
          <w:color w:val="000000" w:themeColor="text1"/>
          <w:lang w:val="en-GB"/>
        </w:rPr>
        <w:t>]</w:t>
      </w:r>
      <w:r w:rsidRPr="00A079CB">
        <w:rPr>
          <w:rFonts w:eastAsia="Arial"/>
          <w:color w:val="000000" w:themeColor="text1"/>
          <w:lang w:val="en-GB"/>
        </w:rPr>
        <w:fldChar w:fldCharType="end"/>
      </w:r>
      <w:r w:rsidRPr="00A079CB">
        <w:rPr>
          <w:rFonts w:eastAsia="Arial"/>
          <w:color w:val="000000" w:themeColor="text1"/>
          <w:lang w:val="en-GB"/>
        </w:rPr>
        <w:t xml:space="preserve">. Table </w:t>
      </w:r>
      <w:r w:rsidR="00DE0773">
        <w:rPr>
          <w:rFonts w:eastAsia="Arial"/>
          <w:color w:val="000000" w:themeColor="text1"/>
          <w:lang w:val="en-GB"/>
        </w:rPr>
        <w:t>S</w:t>
      </w:r>
      <w:r w:rsidR="00DE0773" w:rsidRPr="00A079CB">
        <w:rPr>
          <w:rFonts w:eastAsia="Arial"/>
          <w:color w:val="000000" w:themeColor="text1"/>
          <w:lang w:val="en-GB"/>
        </w:rPr>
        <w:t xml:space="preserve">3 </w:t>
      </w:r>
      <w:r w:rsidRPr="00A079CB">
        <w:rPr>
          <w:rFonts w:eastAsia="Arial"/>
          <w:color w:val="000000" w:themeColor="text1"/>
          <w:lang w:val="en-GB"/>
        </w:rPr>
        <w:t>below compares manual and automatic counting methods.</w:t>
      </w:r>
    </w:p>
    <w:tbl>
      <w:tblPr>
        <w:tblStyle w:val="af3"/>
        <w:tblW w:w="5000" w:type="pct"/>
        <w:tblLook w:val="04A0" w:firstRow="1" w:lastRow="0" w:firstColumn="1" w:lastColumn="0" w:noHBand="0" w:noVBand="1"/>
      </w:tblPr>
      <w:tblGrid>
        <w:gridCol w:w="3016"/>
        <w:gridCol w:w="2763"/>
        <w:gridCol w:w="3957"/>
      </w:tblGrid>
      <w:tr w:rsidR="00291196" w:rsidRPr="00A079CB" w14:paraId="7060686C" w14:textId="77777777" w:rsidTr="00DA51EE">
        <w:trPr>
          <w:trHeight w:val="227"/>
        </w:trPr>
        <w:tc>
          <w:tcPr>
            <w:tcW w:w="5000" w:type="pct"/>
            <w:gridSpan w:val="3"/>
          </w:tcPr>
          <w:p w14:paraId="4BBB6D64" w14:textId="1F34E821" w:rsidR="00291196" w:rsidRPr="00A079CB" w:rsidRDefault="00291196" w:rsidP="00DA51EE">
            <w:pPr>
              <w:ind w:firstLineChars="0" w:firstLine="0"/>
              <w:rPr>
                <w:rFonts w:eastAsia="Arial"/>
                <w:color w:val="000000" w:themeColor="text1"/>
                <w:sz w:val="16"/>
                <w:szCs w:val="16"/>
                <w:lang w:val="en-GB"/>
              </w:rPr>
            </w:pPr>
            <w:r w:rsidRPr="00A079CB">
              <w:rPr>
                <w:rFonts w:eastAsia="Arial"/>
                <w:b/>
                <w:bCs/>
                <w:color w:val="000000" w:themeColor="text1"/>
                <w:sz w:val="16"/>
                <w:szCs w:val="16"/>
                <w:lang w:val="en-GB"/>
              </w:rPr>
              <w:t xml:space="preserve">Table </w:t>
            </w:r>
            <w:r w:rsidR="00DE0773">
              <w:rPr>
                <w:rFonts w:eastAsia="Arial"/>
                <w:b/>
                <w:bCs/>
                <w:color w:val="000000" w:themeColor="text1"/>
                <w:sz w:val="16"/>
                <w:szCs w:val="16"/>
                <w:lang w:val="en-GB"/>
              </w:rPr>
              <w:t>S</w:t>
            </w:r>
            <w:r w:rsidR="00DE0773" w:rsidRPr="00A079CB">
              <w:rPr>
                <w:rFonts w:eastAsia="Arial"/>
                <w:b/>
                <w:bCs/>
                <w:color w:val="000000" w:themeColor="text1"/>
                <w:sz w:val="16"/>
                <w:szCs w:val="16"/>
                <w:lang w:val="en-GB"/>
              </w:rPr>
              <w:t>3</w:t>
            </w:r>
            <w:r w:rsidRPr="00A079CB">
              <w:rPr>
                <w:rFonts w:eastAsia="Arial"/>
                <w:b/>
                <w:bCs/>
                <w:color w:val="000000" w:themeColor="text1"/>
                <w:sz w:val="16"/>
                <w:szCs w:val="16"/>
                <w:lang w:val="en-GB"/>
              </w:rPr>
              <w:t>: Comparison manual and automatic cell counting workflow (lactate dehydrogenase and ethidium homodimer (LDH/Eth))</w:t>
            </w:r>
          </w:p>
        </w:tc>
      </w:tr>
      <w:tr w:rsidR="00291196" w:rsidRPr="00A079CB" w14:paraId="5A1DA698" w14:textId="77777777" w:rsidTr="00DA51EE">
        <w:trPr>
          <w:trHeight w:val="227"/>
        </w:trPr>
        <w:tc>
          <w:tcPr>
            <w:tcW w:w="1549" w:type="pct"/>
            <w:tcBorders>
              <w:bottom w:val="single" w:sz="8" w:space="0" w:color="auto"/>
              <w:right w:val="single" w:sz="8" w:space="0" w:color="auto"/>
            </w:tcBorders>
          </w:tcPr>
          <w:p w14:paraId="3D92E1EF"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Parameters</w:t>
            </w:r>
          </w:p>
        </w:tc>
        <w:tc>
          <w:tcPr>
            <w:tcW w:w="1419" w:type="pct"/>
            <w:tcBorders>
              <w:left w:val="single" w:sz="8" w:space="0" w:color="auto"/>
              <w:bottom w:val="single" w:sz="8" w:space="0" w:color="auto"/>
            </w:tcBorders>
          </w:tcPr>
          <w:p w14:paraId="46F25A7A"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Manual counting</w:t>
            </w:r>
          </w:p>
        </w:tc>
        <w:tc>
          <w:tcPr>
            <w:tcW w:w="2033" w:type="pct"/>
            <w:tcBorders>
              <w:bottom w:val="single" w:sz="8" w:space="0" w:color="auto"/>
            </w:tcBorders>
          </w:tcPr>
          <w:p w14:paraId="5A85CD31"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Automatic counting</w:t>
            </w:r>
          </w:p>
        </w:tc>
      </w:tr>
      <w:tr w:rsidR="00291196" w:rsidRPr="00A079CB" w14:paraId="42C72CAA" w14:textId="77777777" w:rsidTr="00DA51EE">
        <w:trPr>
          <w:trHeight w:val="227"/>
        </w:trPr>
        <w:tc>
          <w:tcPr>
            <w:tcW w:w="1549" w:type="pct"/>
            <w:tcBorders>
              <w:top w:val="single" w:sz="8" w:space="0" w:color="auto"/>
              <w:right w:val="single" w:sz="8" w:space="0" w:color="auto"/>
            </w:tcBorders>
          </w:tcPr>
          <w:p w14:paraId="3E8CEE3C"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Intra- and inter-observer variability</w:t>
            </w:r>
          </w:p>
        </w:tc>
        <w:tc>
          <w:tcPr>
            <w:tcW w:w="1419" w:type="pct"/>
            <w:tcBorders>
              <w:top w:val="single" w:sz="8" w:space="0" w:color="auto"/>
              <w:left w:val="single" w:sz="8" w:space="0" w:color="auto"/>
            </w:tcBorders>
          </w:tcPr>
          <w:p w14:paraId="3F9C458B"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High</w:t>
            </w:r>
          </w:p>
        </w:tc>
        <w:tc>
          <w:tcPr>
            <w:tcW w:w="2033" w:type="pct"/>
            <w:tcBorders>
              <w:top w:val="single" w:sz="8" w:space="0" w:color="auto"/>
            </w:tcBorders>
          </w:tcPr>
          <w:p w14:paraId="6924C5DA"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Inexistant</w:t>
            </w:r>
          </w:p>
        </w:tc>
      </w:tr>
      <w:tr w:rsidR="00291196" w:rsidRPr="00A079CB" w14:paraId="2E1BDC6E" w14:textId="77777777" w:rsidTr="00DA51EE">
        <w:trPr>
          <w:trHeight w:val="227"/>
        </w:trPr>
        <w:tc>
          <w:tcPr>
            <w:tcW w:w="1549" w:type="pct"/>
            <w:tcBorders>
              <w:right w:val="single" w:sz="8" w:space="0" w:color="auto"/>
            </w:tcBorders>
          </w:tcPr>
          <w:p w14:paraId="6E0941E2"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Microscope parameters</w:t>
            </w:r>
          </w:p>
        </w:tc>
        <w:tc>
          <w:tcPr>
            <w:tcW w:w="1419" w:type="pct"/>
            <w:tcBorders>
              <w:left w:val="single" w:sz="8" w:space="0" w:color="auto"/>
            </w:tcBorders>
          </w:tcPr>
          <w:p w14:paraId="743169EB"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Variable</w:t>
            </w:r>
          </w:p>
        </w:tc>
        <w:tc>
          <w:tcPr>
            <w:tcW w:w="2033" w:type="pct"/>
          </w:tcPr>
          <w:p w14:paraId="26B94F17"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Fixed (possibility to compare different studies)</w:t>
            </w:r>
          </w:p>
        </w:tc>
      </w:tr>
      <w:tr w:rsidR="00291196" w:rsidRPr="00A079CB" w14:paraId="3499492D" w14:textId="77777777" w:rsidTr="00DA51EE">
        <w:trPr>
          <w:trHeight w:val="227"/>
        </w:trPr>
        <w:tc>
          <w:tcPr>
            <w:tcW w:w="1549" w:type="pct"/>
            <w:tcBorders>
              <w:right w:val="single" w:sz="8" w:space="0" w:color="auto"/>
            </w:tcBorders>
          </w:tcPr>
          <w:p w14:paraId="7DE42ED7"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Format working file</w:t>
            </w:r>
          </w:p>
        </w:tc>
        <w:tc>
          <w:tcPr>
            <w:tcW w:w="1419" w:type="pct"/>
            <w:tcBorders>
              <w:left w:val="single" w:sz="8" w:space="0" w:color="auto"/>
            </w:tcBorders>
          </w:tcPr>
          <w:p w14:paraId="35E5E7DD"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Processed image (.jpeg)</w:t>
            </w:r>
          </w:p>
        </w:tc>
        <w:tc>
          <w:tcPr>
            <w:tcW w:w="2033" w:type="pct"/>
          </w:tcPr>
          <w:p w14:paraId="4FFCE991"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Original image (.vsi)</w:t>
            </w:r>
          </w:p>
        </w:tc>
      </w:tr>
      <w:tr w:rsidR="00291196" w:rsidRPr="00A079CB" w14:paraId="7365F352" w14:textId="77777777" w:rsidTr="00DA51EE">
        <w:trPr>
          <w:trHeight w:val="227"/>
        </w:trPr>
        <w:tc>
          <w:tcPr>
            <w:tcW w:w="1549" w:type="pct"/>
            <w:tcBorders>
              <w:right w:val="single" w:sz="8" w:space="0" w:color="auto"/>
            </w:tcBorders>
          </w:tcPr>
          <w:p w14:paraId="77991398"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Cell selection</w:t>
            </w:r>
          </w:p>
        </w:tc>
        <w:tc>
          <w:tcPr>
            <w:tcW w:w="1419" w:type="pct"/>
            <w:tcBorders>
              <w:left w:val="single" w:sz="8" w:space="0" w:color="auto"/>
            </w:tcBorders>
          </w:tcPr>
          <w:p w14:paraId="46919CAA"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Manual selection of single cells</w:t>
            </w:r>
          </w:p>
        </w:tc>
        <w:tc>
          <w:tcPr>
            <w:tcW w:w="2033" w:type="pct"/>
          </w:tcPr>
          <w:p w14:paraId="5B33F5B4"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Automatic thresholding</w:t>
            </w:r>
          </w:p>
        </w:tc>
      </w:tr>
      <w:tr w:rsidR="00291196" w:rsidRPr="00A079CB" w14:paraId="28BDDBE4" w14:textId="77777777" w:rsidTr="00DA51EE">
        <w:trPr>
          <w:trHeight w:val="227"/>
        </w:trPr>
        <w:tc>
          <w:tcPr>
            <w:tcW w:w="1549" w:type="pct"/>
            <w:tcBorders>
              <w:right w:val="single" w:sz="8" w:space="0" w:color="auto"/>
            </w:tcBorders>
          </w:tcPr>
          <w:p w14:paraId="29349770"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Time required</w:t>
            </w:r>
          </w:p>
        </w:tc>
        <w:tc>
          <w:tcPr>
            <w:tcW w:w="1419" w:type="pct"/>
            <w:tcBorders>
              <w:left w:val="single" w:sz="8" w:space="0" w:color="auto"/>
            </w:tcBorders>
          </w:tcPr>
          <w:p w14:paraId="61A266E5"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Time consuming</w:t>
            </w:r>
          </w:p>
        </w:tc>
        <w:tc>
          <w:tcPr>
            <w:tcW w:w="2033" w:type="pct"/>
          </w:tcPr>
          <w:p w14:paraId="2E525CC6" w14:textId="77777777" w:rsidR="00291196" w:rsidRPr="00A079CB" w:rsidRDefault="00291196" w:rsidP="00DA51EE">
            <w:pPr>
              <w:ind w:firstLineChars="0" w:firstLine="0"/>
              <w:rPr>
                <w:rFonts w:eastAsia="Arial"/>
                <w:color w:val="000000" w:themeColor="text1"/>
                <w:sz w:val="16"/>
                <w:szCs w:val="16"/>
                <w:lang w:val="en-GB"/>
              </w:rPr>
            </w:pPr>
            <w:r w:rsidRPr="00A079CB">
              <w:rPr>
                <w:rFonts w:eastAsia="Arial"/>
                <w:color w:val="000000" w:themeColor="text1"/>
                <w:sz w:val="16"/>
                <w:szCs w:val="16"/>
                <w:lang w:val="en-GB"/>
              </w:rPr>
              <w:t>Time effective</w:t>
            </w:r>
          </w:p>
        </w:tc>
      </w:tr>
    </w:tbl>
    <w:p w14:paraId="16A98A01" w14:textId="4BB9FFF9" w:rsidR="00291196" w:rsidRPr="00A079CB" w:rsidRDefault="00291196" w:rsidP="00291196">
      <w:pPr>
        <w:pStyle w:val="a6"/>
        <w:ind w:firstLineChars="0" w:firstLine="0"/>
        <w:rPr>
          <w:rFonts w:eastAsia="Arial"/>
          <w:color w:val="000000" w:themeColor="text1"/>
          <w:lang w:val="en-GB"/>
        </w:rPr>
      </w:pPr>
      <w:r w:rsidRPr="00A079CB">
        <w:rPr>
          <w:rFonts w:eastAsia="Arial"/>
          <w:color w:val="000000" w:themeColor="text1"/>
          <w:lang w:val="en-GB"/>
        </w:rPr>
        <w:t xml:space="preserve">We divided the total area of the LDH/Eth sections into the three regions of the disc, defining the NP as the central 40% and the AFo as the outer 10% on both sides, with the AFi corresponding to the transition zone (10% on both sides) between the NP and the AFo, </w:t>
      </w:r>
      <w:r w:rsidR="00DE0773">
        <w:rPr>
          <w:rFonts w:eastAsia="Arial"/>
          <w:color w:val="000000" w:themeColor="text1"/>
          <w:lang w:val="en-GB"/>
        </w:rPr>
        <w:t>expressed</w:t>
      </w:r>
      <w:r w:rsidRPr="00A079CB">
        <w:rPr>
          <w:rFonts w:eastAsia="Arial"/>
          <w:color w:val="000000" w:themeColor="text1"/>
          <w:lang w:val="en-GB"/>
        </w:rPr>
        <w:t xml:space="preserve"> b</w:t>
      </w:r>
      <w:r w:rsidR="00DE0773">
        <w:rPr>
          <w:rFonts w:eastAsia="Arial"/>
          <w:color w:val="000000" w:themeColor="text1"/>
          <w:lang w:val="en-GB"/>
        </w:rPr>
        <w:t xml:space="preserve">y </w:t>
      </w:r>
      <w:r w:rsidRPr="00A079CB">
        <w:rPr>
          <w:rFonts w:eastAsia="Arial"/>
          <w:color w:val="000000" w:themeColor="text1"/>
          <w:lang w:val="en-GB"/>
        </w:rPr>
        <w:t xml:space="preserve">cell density and cell orientation. We counted the cells in several </w:t>
      </w:r>
      <w:bookmarkStart w:id="1" w:name="_Hlk183008030"/>
      <w:r w:rsidRPr="00A079CB">
        <w:rPr>
          <w:rFonts w:eastAsia="Arial"/>
          <w:color w:val="000000" w:themeColor="text1"/>
          <w:lang w:val="en-GB"/>
        </w:rPr>
        <w:t xml:space="preserve">regions of interest (ROI) </w:t>
      </w:r>
      <w:bookmarkEnd w:id="1"/>
      <w:r w:rsidRPr="00A079CB">
        <w:rPr>
          <w:rFonts w:eastAsia="Arial"/>
          <w:color w:val="000000" w:themeColor="text1"/>
          <w:lang w:val="en-GB"/>
        </w:rPr>
        <w:t>randomly placed within the three disc regions (4 in the NP, 3 or in the AFi or 4 if viability wasn't uniform and 2 in the AFo). Based on preliminary tests, the code applies the Otsu threshold for both brightfield and fluorescence images, includes the watershed function and excludes particles with an area smaller than 10μm</w:t>
      </w:r>
      <w:r w:rsidRPr="00A079CB">
        <w:rPr>
          <w:rFonts w:eastAsia="Arial"/>
          <w:color w:val="000000" w:themeColor="text1"/>
          <w:vertAlign w:val="superscript"/>
          <w:lang w:val="en-GB"/>
        </w:rPr>
        <w:t>2</w:t>
      </w:r>
      <w:r w:rsidRPr="00A079CB">
        <w:rPr>
          <w:rFonts w:eastAsia="Arial"/>
          <w:color w:val="000000" w:themeColor="text1"/>
          <w:lang w:val="en-GB"/>
        </w:rPr>
        <w:t xml:space="preserve"> and 3μm</w:t>
      </w:r>
      <w:r w:rsidRPr="00A079CB">
        <w:rPr>
          <w:rFonts w:eastAsia="Arial"/>
          <w:color w:val="000000" w:themeColor="text1"/>
          <w:vertAlign w:val="superscript"/>
          <w:lang w:val="en-GB"/>
        </w:rPr>
        <w:t>2</w:t>
      </w:r>
      <w:r w:rsidRPr="00A079CB">
        <w:rPr>
          <w:rFonts w:eastAsia="Arial"/>
          <w:color w:val="000000" w:themeColor="text1"/>
          <w:lang w:val="en-GB"/>
        </w:rPr>
        <w:t>, considered as artefacts, from the brightfield and fluorescence images, respectively.</w:t>
      </w:r>
    </w:p>
    <w:p w14:paraId="0120097B" w14:textId="35CEAEFE" w:rsidR="00291196" w:rsidRPr="00A079CB" w:rsidRDefault="00291196" w:rsidP="00291196">
      <w:pPr>
        <w:pStyle w:val="a6"/>
        <w:ind w:firstLineChars="0" w:firstLine="0"/>
        <w:rPr>
          <w:rFonts w:eastAsiaTheme="minorEastAsia"/>
          <w:color w:val="000000" w:themeColor="text1"/>
          <w:lang w:val="en-GB"/>
        </w:rPr>
      </w:pPr>
      <w:r w:rsidRPr="00A079CB">
        <w:rPr>
          <w:rFonts w:eastAsia="Arial"/>
          <w:color w:val="000000" w:themeColor="text1"/>
          <w:lang w:val="en-GB"/>
        </w:rPr>
        <w:t xml:space="preserve">We validated the developed workflow i.e. we manually counted the blue, blue/red (or purple) and red cells, then ran the code and determined the </w:t>
      </w:r>
      <w:r w:rsidR="00077470" w:rsidRPr="00A079CB">
        <w:rPr>
          <w:rFonts w:eastAsia="Arial"/>
          <w:color w:val="000000" w:themeColor="text1"/>
          <w:lang w:val="en-GB"/>
        </w:rPr>
        <w:t>agreement</w:t>
      </w:r>
      <w:r w:rsidRPr="00A079CB">
        <w:rPr>
          <w:rFonts w:eastAsia="Arial"/>
          <w:color w:val="000000" w:themeColor="text1"/>
          <w:lang w:val="en-GB"/>
        </w:rPr>
        <w:t xml:space="preserve"> between the two, manual and automatic, counting methods for cell viability and for cell density. The percentage of viable cells was calculated as the ratio of viable cells to the total number of cells (blue cells / (blue + red cells - purple cells)*100). The number of cells per ROI (0.178mm</w:t>
      </w:r>
      <w:r w:rsidRPr="00A079CB">
        <w:rPr>
          <w:rFonts w:eastAsia="Arial"/>
          <w:color w:val="000000" w:themeColor="text1"/>
          <w:vertAlign w:val="superscript"/>
          <w:lang w:val="en-GB"/>
        </w:rPr>
        <w:t>2</w:t>
      </w:r>
      <w:r w:rsidRPr="00A079CB">
        <w:rPr>
          <w:rFonts w:eastAsia="Arial"/>
          <w:color w:val="000000" w:themeColor="text1"/>
          <w:lang w:val="en-GB"/>
        </w:rPr>
        <w:t>) was used to calculate cell density.</w:t>
      </w:r>
    </w:p>
    <w:p w14:paraId="4518613D" w14:textId="77777777" w:rsidR="00291196" w:rsidRPr="00A079CB" w:rsidRDefault="00291196" w:rsidP="00291196">
      <w:pPr>
        <w:spacing w:before="240" w:after="240"/>
        <w:ind w:firstLineChars="0" w:firstLine="0"/>
        <w:rPr>
          <w:rFonts w:eastAsia="Arial"/>
          <w:color w:val="000000" w:themeColor="text1"/>
          <w:kern w:val="0"/>
          <w:lang w:val="en-GB"/>
        </w:rPr>
      </w:pPr>
      <w:r w:rsidRPr="00A079CB">
        <w:rPr>
          <w:rFonts w:eastAsia="Arial"/>
          <w:b/>
          <w:bCs/>
          <w:color w:val="000000" w:themeColor="text1"/>
          <w:kern w:val="0"/>
          <w:sz w:val="24"/>
          <w:szCs w:val="24"/>
          <w:lang w:val="en-GB"/>
        </w:rPr>
        <w:t>Results</w:t>
      </w:r>
    </w:p>
    <w:p w14:paraId="53574BC9" w14:textId="399DBFF6" w:rsidR="00291196" w:rsidRPr="00A079CB" w:rsidRDefault="00DE0773" w:rsidP="00291196">
      <w:pPr>
        <w:pStyle w:val="2"/>
        <w:rPr>
          <w:color w:val="000000" w:themeColor="text1"/>
          <w:lang w:val="en-GB"/>
        </w:rPr>
      </w:pPr>
      <w:r>
        <w:rPr>
          <w:color w:val="000000" w:themeColor="text1"/>
          <w:lang w:val="en-GB"/>
        </w:rPr>
        <w:t>S</w:t>
      </w:r>
      <w:r w:rsidR="00291196" w:rsidRPr="00A079CB">
        <w:rPr>
          <w:color w:val="000000" w:themeColor="text1"/>
          <w:lang w:val="en-GB"/>
        </w:rPr>
        <w:t>.R.1 Biological evaluation</w:t>
      </w:r>
    </w:p>
    <w:p w14:paraId="57032F2A" w14:textId="73DA054C" w:rsidR="00291196" w:rsidRPr="00A079CB" w:rsidRDefault="00DE0773" w:rsidP="00291196">
      <w:pPr>
        <w:pStyle w:val="3"/>
        <w:rPr>
          <w:color w:val="000000" w:themeColor="text1"/>
          <w:lang w:val="en-GB"/>
        </w:rPr>
      </w:pPr>
      <w:r>
        <w:rPr>
          <w:color w:val="000000" w:themeColor="text1"/>
          <w:lang w:val="en-GB"/>
        </w:rPr>
        <w:t>S</w:t>
      </w:r>
      <w:r w:rsidR="00291196" w:rsidRPr="00A079CB">
        <w:rPr>
          <w:color w:val="000000" w:themeColor="text1"/>
          <w:lang w:val="en-GB"/>
        </w:rPr>
        <w:t>.R.1.1 Viability cell counting workflow and validation</w:t>
      </w:r>
    </w:p>
    <w:p w14:paraId="30355399" w14:textId="77777777" w:rsidR="00291196" w:rsidRPr="00A079CB" w:rsidRDefault="00291196" w:rsidP="00291196">
      <w:pPr>
        <w:pStyle w:val="a6"/>
        <w:ind w:firstLineChars="0"/>
        <w:rPr>
          <w:rFonts w:eastAsia="Arial"/>
          <w:color w:val="000000" w:themeColor="text1"/>
          <w:lang w:val="en-GB"/>
        </w:rPr>
      </w:pPr>
      <w:r w:rsidRPr="00A079CB">
        <w:rPr>
          <w:rFonts w:eastAsia="Arial"/>
          <w:color w:val="000000" w:themeColor="text1"/>
          <w:lang w:val="en-GB"/>
        </w:rPr>
        <w:t>The code gave correct results. In a few cases, the code gave erroneous results which were easy to detect, i.e. either viability was greater than 100% or the number of blue/red cells was greater than the number of blue cells. These errors are due to a small difference between the background and the cells leading to incorrect thresholding. The erroneous results were excluded from further analysis.</w:t>
      </w:r>
    </w:p>
    <w:p w14:paraId="08D4D94C" w14:textId="0061FF82" w:rsidR="00291196" w:rsidRPr="00A079CB" w:rsidRDefault="0006155B" w:rsidP="00291196">
      <w:pPr>
        <w:ind w:firstLine="420"/>
        <w:rPr>
          <w:rFonts w:eastAsia="Arial"/>
          <w:color w:val="000000" w:themeColor="text1"/>
          <w:kern w:val="0"/>
          <w:lang w:val="en-GB"/>
        </w:rPr>
      </w:pPr>
      <w:r w:rsidRPr="00A079CB">
        <w:rPr>
          <w:rFonts w:eastAsia="Arial"/>
          <w:noProof/>
          <w:color w:val="000000" w:themeColor="text1"/>
          <w:kern w:val="0"/>
          <w:lang w:val="en-GB"/>
          <w14:ligatures w14:val="standardContextual"/>
        </w:rPr>
        <w:drawing>
          <wp:inline distT="0" distB="0" distL="0" distR="0" wp14:anchorId="4A93C5F0" wp14:editId="087D3E25">
            <wp:extent cx="6188710" cy="1710690"/>
            <wp:effectExtent l="0" t="0" r="2540" b="3810"/>
            <wp:docPr id="219759524" name="Picture 1" descr="A graph with a r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759524" name="Picture 1" descr="A graph with a red lin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88710" cy="1710690"/>
                    </a:xfrm>
                    <a:prstGeom prst="rect">
                      <a:avLst/>
                    </a:prstGeom>
                  </pic:spPr>
                </pic:pic>
              </a:graphicData>
            </a:graphic>
          </wp:inline>
        </w:drawing>
      </w:r>
    </w:p>
    <w:p w14:paraId="55510588" w14:textId="0E0A3903" w:rsidR="0006155B" w:rsidRPr="00A079CB" w:rsidRDefault="00291196" w:rsidP="0006155B">
      <w:pPr>
        <w:pStyle w:val="aff5"/>
        <w:ind w:firstLine="420"/>
        <w:rPr>
          <w:b w:val="0"/>
          <w:bCs w:val="0"/>
          <w:color w:val="000000" w:themeColor="text1"/>
          <w:lang w:val="en-GB"/>
        </w:rPr>
      </w:pPr>
      <w:r w:rsidRPr="00A079CB">
        <w:rPr>
          <w:color w:val="000000" w:themeColor="text1"/>
          <w:lang w:val="en-GB"/>
        </w:rPr>
        <w:t xml:space="preserve">Figure </w:t>
      </w:r>
      <w:r w:rsidR="00DE0773">
        <w:rPr>
          <w:color w:val="000000" w:themeColor="text1"/>
          <w:lang w:val="en-GB"/>
        </w:rPr>
        <w:t>S</w:t>
      </w:r>
      <w:r w:rsidR="00DE0773" w:rsidRPr="00A079CB">
        <w:rPr>
          <w:color w:val="000000" w:themeColor="text1"/>
          <w:lang w:val="en-GB"/>
        </w:rPr>
        <w:t>1</w:t>
      </w:r>
      <w:r w:rsidRPr="00A079CB">
        <w:rPr>
          <w:color w:val="000000" w:themeColor="text1"/>
          <w:lang w:val="en-GB"/>
        </w:rPr>
        <w:t xml:space="preserve">: </w:t>
      </w:r>
      <w:r w:rsidR="0006155B" w:rsidRPr="00A079CB">
        <w:rPr>
          <w:color w:val="000000" w:themeColor="text1"/>
          <w:lang w:val="en-GB"/>
        </w:rPr>
        <w:t>Agreement</w:t>
      </w:r>
      <w:r w:rsidRPr="00A079CB">
        <w:rPr>
          <w:color w:val="000000" w:themeColor="text1"/>
          <w:lang w:val="en-GB"/>
        </w:rPr>
        <w:t xml:space="preserve"> between the viability, expressed in %, obtained by the manual and the automatic counting methods </w:t>
      </w:r>
      <w:r w:rsidR="0006155B" w:rsidRPr="00A079CB">
        <w:rPr>
          <w:b w:val="0"/>
          <w:bCs w:val="0"/>
          <w:color w:val="000000" w:themeColor="text1"/>
          <w:lang w:val="en-GB"/>
        </w:rPr>
        <w:t xml:space="preserve">for the different regions of the IVD (nucleus pulposus (NP): ICC=0.96 and n=41 pairs; inner annulus fibrosus (AFi): ICC=0.97 and n=34 pairs; outer annulus fibrosus </w:t>
      </w:r>
      <w:r w:rsidR="0006155B" w:rsidRPr="00292B0D">
        <w:rPr>
          <w:b w:val="0"/>
          <w:bCs w:val="0"/>
          <w:color w:val="000000" w:themeColor="text1"/>
          <w:lang w:val="en-GB"/>
        </w:rPr>
        <w:t>(AFo): ICC=0.97</w:t>
      </w:r>
      <w:r w:rsidR="0006155B" w:rsidRPr="00A079CB">
        <w:rPr>
          <w:b w:val="0"/>
          <w:bCs w:val="0"/>
          <w:color w:val="000000" w:themeColor="text1"/>
          <w:lang w:val="en-GB"/>
        </w:rPr>
        <w:t xml:space="preserve"> and n=20 pairs).</w:t>
      </w:r>
    </w:p>
    <w:p w14:paraId="204E1038" w14:textId="3BD31A6C" w:rsidR="0006155B" w:rsidRPr="00A079CB" w:rsidRDefault="0006155B" w:rsidP="0006155B">
      <w:pPr>
        <w:pStyle w:val="a6"/>
        <w:ind w:firstLineChars="0" w:firstLine="0"/>
        <w:rPr>
          <w:rFonts w:eastAsia="Arial"/>
          <w:color w:val="000000" w:themeColor="text1"/>
          <w:lang w:val="en-GB"/>
        </w:rPr>
      </w:pPr>
      <w:r w:rsidRPr="00A079CB">
        <w:rPr>
          <w:rFonts w:eastAsia="Arial"/>
          <w:color w:val="000000" w:themeColor="text1"/>
          <w:lang w:val="en-GB"/>
        </w:rPr>
        <w:t xml:space="preserve">Figure </w:t>
      </w:r>
      <w:r w:rsidR="00DE0773">
        <w:rPr>
          <w:rFonts w:eastAsia="Arial"/>
          <w:color w:val="000000" w:themeColor="text1"/>
          <w:lang w:val="en-GB"/>
        </w:rPr>
        <w:t>S</w:t>
      </w:r>
      <w:r w:rsidR="00DE0773" w:rsidRPr="00A079CB">
        <w:rPr>
          <w:rFonts w:eastAsia="Arial"/>
          <w:color w:val="000000" w:themeColor="text1"/>
          <w:lang w:val="en-GB"/>
        </w:rPr>
        <w:t xml:space="preserve">1 </w:t>
      </w:r>
      <w:r w:rsidRPr="00A079CB">
        <w:rPr>
          <w:rFonts w:eastAsia="Arial"/>
          <w:color w:val="000000" w:themeColor="text1"/>
          <w:lang w:val="en-GB"/>
        </w:rPr>
        <w:t xml:space="preserve">shows the agreement between the viability, expressed in %, obtained by the manual and the automatic counting methods for the different regions of the disc. The agreement, expressed as intraclass coefficient correlation (ICC; </w:t>
      </w:r>
      <w:r w:rsidRPr="00A079CB">
        <w:rPr>
          <w:rFonts w:eastAsia="宋体"/>
          <w:color w:val="000000" w:themeColor="text1"/>
        </w:rPr>
        <w:t>two-way mixed model and absolute agreement</w:t>
      </w:r>
      <w:r w:rsidRPr="00A079CB">
        <w:rPr>
          <w:rFonts w:eastAsia="Arial"/>
          <w:color w:val="000000" w:themeColor="text1"/>
          <w:lang w:val="en-GB"/>
        </w:rPr>
        <w:t>) is excellent in the three regions of the IVD (NP:</w:t>
      </w:r>
      <w:r w:rsidRPr="00A079CB">
        <w:rPr>
          <w:color w:val="000000" w:themeColor="text1"/>
        </w:rPr>
        <w:t xml:space="preserve"> </w:t>
      </w:r>
      <w:r w:rsidRPr="00A079CB">
        <w:rPr>
          <w:rFonts w:eastAsia="Arial"/>
          <w:color w:val="000000" w:themeColor="text1"/>
          <w:lang w:val="en-GB"/>
        </w:rPr>
        <w:t xml:space="preserve">ICC=0.96 and n=41 pairs; AFi: </w:t>
      </w:r>
      <w:r w:rsidRPr="00A079CB">
        <w:rPr>
          <w:color w:val="000000" w:themeColor="text1"/>
          <w:lang w:val="en-GB"/>
        </w:rPr>
        <w:t>ICC=0.97 and n=34 pairs; AFo: ICC=0.97 and n=20 pairs</w:t>
      </w:r>
      <w:r w:rsidRPr="00A079CB">
        <w:rPr>
          <w:rFonts w:eastAsia="Arial"/>
          <w:color w:val="000000" w:themeColor="text1"/>
          <w:lang w:val="en-GB"/>
        </w:rPr>
        <w:t>)</w:t>
      </w:r>
      <w:r w:rsidR="001E4938" w:rsidRPr="00A079CB">
        <w:rPr>
          <w:rFonts w:eastAsia="Arial"/>
          <w:color w:val="000000" w:themeColor="text1"/>
          <w:lang w:val="en-GB"/>
        </w:rPr>
        <w:fldChar w:fldCharType="begin"/>
      </w:r>
      <w:r w:rsidR="001E4938" w:rsidRPr="00A079CB">
        <w:rPr>
          <w:rFonts w:eastAsia="Arial"/>
          <w:color w:val="000000" w:themeColor="text1"/>
          <w:lang w:val="en-GB"/>
        </w:rPr>
        <w:instrText xml:space="preserve"> ADDIN EN.CITE &lt;EndNote&gt;&lt;Cite&gt;&lt;Author&gt;Watson&lt;/Author&gt;&lt;Year&gt;2010&lt;/Year&gt;&lt;RecNum&gt;1151&lt;/RecNum&gt;&lt;DisplayText&gt;[80]&lt;/DisplayText&gt;&lt;record&gt;&lt;rec-number&gt;1151&lt;/rec-number&gt;&lt;foreign-keys&gt;&lt;key app="EN" db-id="5pppzr2fiz9w5werefnv9p992x5rwrrpzvv2" timestamp="1738143870"&gt;1151&lt;/key&gt;&lt;/foreign-keys&gt;&lt;ref-type name="Journal Article"&gt;17&lt;/ref-type&gt;&lt;contributors&gt;&lt;authors&gt;&lt;author&gt;Watson, P. F.&lt;/author&gt;&lt;author&gt;Petrie, A.&lt;/author&gt;&lt;/authors&gt;&lt;/contributors&gt;&lt;auth-address&gt;The Royal Veterinary College, London, United Kingdom. pwatson@rvc.ac.uk&lt;/auth-address&gt;&lt;titles&gt;&lt;title&gt;Method agreement analysis: a review of correct methodology&lt;/title&gt;&lt;secondary-title&gt;Theriogenology&lt;/secondary-title&gt;&lt;/titles&gt;&lt;periodical&gt;&lt;full-title&gt;Theriogenology&lt;/full-title&gt;&lt;/periodical&gt;&lt;pages&gt;1167-79&lt;/pages&gt;&lt;volume&gt;73&lt;/volume&gt;&lt;number&gt;9&lt;/number&gt;&lt;keywords&gt;&lt;keyword&gt;Animals&lt;/keyword&gt;&lt;keyword&gt;Bias&lt;/keyword&gt;&lt;keyword&gt;*Reproducibility of Results&lt;/keyword&gt;&lt;keyword&gt;Reproduction&lt;/keyword&gt;&lt;keyword&gt;Research/*statistics &amp;amp; numerical data&lt;/keyword&gt;&lt;keyword&gt;Sensitivity and Specificity&lt;/keyword&gt;&lt;keyword&gt;Statistics as Topic/methods/*standards&lt;/keyword&gt;&lt;/keywords&gt;&lt;dates&gt;&lt;year&gt;2010&lt;/year&gt;&lt;pub-dates&gt;&lt;date&gt;Jun&lt;/date&gt;&lt;/pub-dates&gt;&lt;/dates&gt;&lt;isbn&gt;1879-3231 (Electronic)&amp;#xD;0093-691X (Linking)&lt;/isbn&gt;&lt;accession-num&gt;20138353&lt;/accession-num&gt;&lt;urls&gt;&lt;related-urls&gt;&lt;url&gt;https://www.ncbi.nlm.nih.gov/pubmed/20138353&lt;/url&gt;&lt;/related-urls&gt;&lt;/urls&gt;&lt;electronic-resource-num&gt;10.1016/j.theriogenology.2010.01.003&lt;/electronic-resource-num&gt;&lt;remote-database-name&gt;Medline&lt;/remote-database-name&gt;&lt;remote-database-provider&gt;NLM&lt;/remote-database-provider&gt;&lt;/record&gt;&lt;/Cite&gt;&lt;/EndNote&gt;</w:instrText>
      </w:r>
      <w:r w:rsidR="001E4938" w:rsidRPr="00A079CB">
        <w:rPr>
          <w:rFonts w:eastAsia="Arial"/>
          <w:color w:val="000000" w:themeColor="text1"/>
          <w:lang w:val="en-GB"/>
        </w:rPr>
        <w:fldChar w:fldCharType="separate"/>
      </w:r>
      <w:r w:rsidR="001E4938" w:rsidRPr="00A079CB">
        <w:rPr>
          <w:rFonts w:eastAsia="Arial"/>
          <w:noProof/>
          <w:color w:val="000000" w:themeColor="text1"/>
          <w:lang w:val="en-GB"/>
        </w:rPr>
        <w:t>[8</w:t>
      </w:r>
      <w:r w:rsidR="00B4525A">
        <w:rPr>
          <w:rFonts w:eastAsiaTheme="minorEastAsia" w:hint="eastAsia"/>
          <w:noProof/>
          <w:color w:val="000000" w:themeColor="text1"/>
          <w:lang w:val="en-GB"/>
        </w:rPr>
        <w:t>1</w:t>
      </w:r>
      <w:r w:rsidR="001E4938" w:rsidRPr="00A079CB">
        <w:rPr>
          <w:rFonts w:eastAsia="Arial"/>
          <w:noProof/>
          <w:color w:val="000000" w:themeColor="text1"/>
          <w:lang w:val="en-GB"/>
        </w:rPr>
        <w:t>]</w:t>
      </w:r>
      <w:r w:rsidR="001E4938" w:rsidRPr="00A079CB">
        <w:rPr>
          <w:rFonts w:eastAsia="Arial"/>
          <w:color w:val="000000" w:themeColor="text1"/>
          <w:lang w:val="en-GB"/>
        </w:rPr>
        <w:fldChar w:fldCharType="end"/>
      </w:r>
      <w:r w:rsidRPr="00A079CB">
        <w:rPr>
          <w:rFonts w:eastAsia="Arial"/>
          <w:color w:val="000000" w:themeColor="text1"/>
          <w:lang w:val="en-GB"/>
        </w:rPr>
        <w:t xml:space="preserve">. </w:t>
      </w:r>
    </w:p>
    <w:p w14:paraId="04BB998C" w14:textId="7E07E916" w:rsidR="0006155B" w:rsidRPr="00A079CB" w:rsidRDefault="0006155B" w:rsidP="0006155B">
      <w:pPr>
        <w:pStyle w:val="a6"/>
        <w:ind w:firstLineChars="0" w:firstLine="0"/>
        <w:rPr>
          <w:rFonts w:eastAsia="Arial"/>
          <w:color w:val="000000" w:themeColor="text1"/>
          <w:lang w:val="en-GB"/>
        </w:rPr>
      </w:pPr>
      <w:r w:rsidRPr="00A079CB">
        <w:rPr>
          <w:rFonts w:eastAsia="Arial"/>
          <w:color w:val="000000" w:themeColor="text1"/>
          <w:lang w:val="en-GB"/>
        </w:rPr>
        <w:t xml:space="preserve">The ICC of the cell density results of both counting methods is excellent in the NP (ICC=0.94) and the AFi (ICC=0.98) and substantial in the </w:t>
      </w:r>
      <w:r w:rsidRPr="00292B0D">
        <w:rPr>
          <w:rFonts w:eastAsia="Arial"/>
          <w:color w:val="000000" w:themeColor="text1"/>
          <w:lang w:val="en-GB"/>
        </w:rPr>
        <w:t>AFo (ICC=0.74).</w:t>
      </w:r>
    </w:p>
    <w:p w14:paraId="2BFE4BBB" w14:textId="77777777" w:rsidR="0006155B" w:rsidRPr="00A079CB" w:rsidRDefault="0006155B" w:rsidP="0006155B">
      <w:pPr>
        <w:pStyle w:val="a6"/>
        <w:ind w:firstLineChars="0"/>
        <w:rPr>
          <w:rFonts w:eastAsia="Arial"/>
          <w:color w:val="000000" w:themeColor="text1"/>
          <w:lang w:val="en-GB"/>
        </w:rPr>
      </w:pPr>
      <w:r w:rsidRPr="00A079CB">
        <w:rPr>
          <w:rFonts w:eastAsia="Arial"/>
          <w:color w:val="000000" w:themeColor="text1"/>
          <w:lang w:val="en-GB"/>
        </w:rPr>
        <w:t>The automatic counting is 6 to 9x faster than the manual counting (5’ to 6’ vs 35’ to 45’ per section).</w:t>
      </w:r>
    </w:p>
    <w:p w14:paraId="40233904" w14:textId="795A59E5" w:rsidR="00291196" w:rsidRPr="00A079CB" w:rsidRDefault="0006155B" w:rsidP="0006155B">
      <w:pPr>
        <w:pStyle w:val="a6"/>
        <w:rPr>
          <w:rFonts w:eastAsia="Arial"/>
          <w:color w:val="000000" w:themeColor="text1"/>
          <w:lang w:val="en-GB"/>
        </w:rPr>
      </w:pPr>
      <w:r w:rsidRPr="00A079CB">
        <w:rPr>
          <w:rFonts w:eastAsia="Arial"/>
          <w:color w:val="000000" w:themeColor="text1"/>
          <w:lang w:val="en-GB"/>
        </w:rPr>
        <w:t xml:space="preserve">The results demonstrate that the automatic counting method is a valid time-effective method to compute the viability of LDH/Eth cryosections </w:t>
      </w:r>
      <w:r w:rsidRPr="00A079CB">
        <w:rPr>
          <w:rFonts w:eastAsia="宋体"/>
          <w:color w:val="000000" w:themeColor="text1"/>
        </w:rPr>
        <w:t>of bovine tail intervertebral discs</w:t>
      </w:r>
      <w:r w:rsidRPr="00A079CB">
        <w:rPr>
          <w:rFonts w:eastAsia="Arial"/>
          <w:color w:val="000000" w:themeColor="text1"/>
          <w:lang w:val="en-GB"/>
        </w:rPr>
        <w:t>.</w:t>
      </w:r>
    </w:p>
    <w:p w14:paraId="224F345C" w14:textId="7B6F9DEE" w:rsidR="00291196" w:rsidRPr="00A079CB" w:rsidRDefault="00DE0773" w:rsidP="00291196">
      <w:pPr>
        <w:pStyle w:val="3"/>
        <w:rPr>
          <w:color w:val="000000" w:themeColor="text1"/>
          <w:lang w:val="en-GB"/>
        </w:rPr>
      </w:pPr>
      <w:r>
        <w:rPr>
          <w:color w:val="000000" w:themeColor="text1"/>
          <w:lang w:val="en-GB"/>
        </w:rPr>
        <w:t>S</w:t>
      </w:r>
      <w:r w:rsidR="00291196" w:rsidRPr="00A079CB">
        <w:rPr>
          <w:color w:val="000000" w:themeColor="text1"/>
          <w:lang w:val="en-GB"/>
        </w:rPr>
        <w:t>.R.1.2 Morphology</w:t>
      </w:r>
    </w:p>
    <w:p w14:paraId="53986218" w14:textId="77777777" w:rsidR="00291196" w:rsidRPr="00A079CB" w:rsidRDefault="00291196" w:rsidP="00291196">
      <w:pPr>
        <w:ind w:firstLineChars="0" w:firstLine="0"/>
        <w:rPr>
          <w:rFonts w:eastAsia="Arial"/>
          <w:color w:val="000000" w:themeColor="text1"/>
          <w:kern w:val="0"/>
          <w:lang w:val="en-GB"/>
        </w:rPr>
      </w:pPr>
      <w:r w:rsidRPr="00A079CB">
        <w:rPr>
          <w:rFonts w:eastAsia="Arial"/>
          <w:noProof/>
          <w:color w:val="000000" w:themeColor="text1"/>
          <w:kern w:val="0"/>
          <w:lang w:val="en-GB"/>
        </w:rPr>
        <w:drawing>
          <wp:inline distT="0" distB="0" distL="0" distR="0" wp14:anchorId="295D1EB6" wp14:editId="7A69356A">
            <wp:extent cx="5523230" cy="1367790"/>
            <wp:effectExtent l="0" t="0" r="1270" b="3810"/>
            <wp:docPr id="304902998" name="Picture 12" descr="A close up of a pain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902998" name="Picture 12" descr="A close up of a painting&#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23230" cy="1367790"/>
                    </a:xfrm>
                    <a:prstGeom prst="rect">
                      <a:avLst/>
                    </a:prstGeom>
                    <a:noFill/>
                    <a:ln>
                      <a:noFill/>
                    </a:ln>
                  </pic:spPr>
                </pic:pic>
              </a:graphicData>
            </a:graphic>
          </wp:inline>
        </w:drawing>
      </w:r>
    </w:p>
    <w:p w14:paraId="17F82729" w14:textId="040AB8EA" w:rsidR="00291196" w:rsidRPr="00A079CB" w:rsidRDefault="00291196" w:rsidP="00291196">
      <w:pPr>
        <w:pStyle w:val="aff5"/>
        <w:rPr>
          <w:b w:val="0"/>
          <w:bCs w:val="0"/>
          <w:color w:val="000000" w:themeColor="text1"/>
          <w:lang w:val="en-GB"/>
        </w:rPr>
      </w:pPr>
      <w:r w:rsidRPr="00A079CB">
        <w:rPr>
          <w:color w:val="000000" w:themeColor="text1"/>
          <w:lang w:val="en-GB"/>
        </w:rPr>
        <w:t xml:space="preserve">Figure </w:t>
      </w:r>
      <w:r w:rsidR="00DE0773">
        <w:rPr>
          <w:color w:val="000000" w:themeColor="text1"/>
          <w:lang w:val="en-GB"/>
        </w:rPr>
        <w:t>S</w:t>
      </w:r>
      <w:r w:rsidR="00DE0773" w:rsidRPr="00A079CB">
        <w:rPr>
          <w:color w:val="000000" w:themeColor="text1"/>
          <w:lang w:val="en-GB"/>
        </w:rPr>
        <w:t>2</w:t>
      </w:r>
      <w:r w:rsidRPr="00A079CB">
        <w:rPr>
          <w:color w:val="000000" w:themeColor="text1"/>
          <w:lang w:val="en-GB"/>
        </w:rPr>
        <w:t xml:space="preserve">: Safranin O/Fast Green images (20x; scale bar 2mm) as illustration. </w:t>
      </w:r>
      <w:r w:rsidRPr="00A079CB">
        <w:rPr>
          <w:b w:val="0"/>
          <w:bCs w:val="0"/>
          <w:color w:val="000000" w:themeColor="text1"/>
          <w:lang w:val="en-GB"/>
        </w:rPr>
        <w:t>Samples from Tail 1 of the dynamic loading group (a) and the active dynamic unloading group (b).</w:t>
      </w:r>
    </w:p>
    <w:p w14:paraId="26030DB6" w14:textId="77777777" w:rsidR="00291196" w:rsidRPr="00A079CB" w:rsidRDefault="00291196" w:rsidP="00291196">
      <w:pPr>
        <w:pStyle w:val="a6"/>
        <w:rPr>
          <w:rFonts w:eastAsia="Arial"/>
          <w:color w:val="000000" w:themeColor="text1"/>
          <w:lang w:val="en-GB"/>
        </w:rPr>
      </w:pPr>
      <w:r w:rsidRPr="00A079CB">
        <w:rPr>
          <w:rFonts w:eastAsia="Arial"/>
          <w:color w:val="000000" w:themeColor="text1"/>
          <w:lang w:val="en-GB"/>
        </w:rPr>
        <w:t>We did not observe differences between the groups.</w:t>
      </w:r>
    </w:p>
    <w:p w14:paraId="5E31D356" w14:textId="2A648974" w:rsidR="00291196" w:rsidRPr="00A079CB" w:rsidRDefault="00DE0773" w:rsidP="00291196">
      <w:pPr>
        <w:pStyle w:val="2"/>
        <w:rPr>
          <w:color w:val="000000" w:themeColor="text1"/>
          <w:lang w:val="en-GB"/>
        </w:rPr>
      </w:pPr>
      <w:r>
        <w:rPr>
          <w:color w:val="000000" w:themeColor="text1"/>
          <w:lang w:val="en-GB"/>
        </w:rPr>
        <w:t>S</w:t>
      </w:r>
      <w:r w:rsidR="00291196" w:rsidRPr="00A079CB">
        <w:rPr>
          <w:color w:val="000000" w:themeColor="text1"/>
          <w:lang w:val="en-GB"/>
        </w:rPr>
        <w:t>.R.2 Mechanical evaluation</w:t>
      </w:r>
    </w:p>
    <w:p w14:paraId="38856A60" w14:textId="6DF9F391" w:rsidR="00291196" w:rsidRPr="00A079CB" w:rsidRDefault="00DE0773" w:rsidP="00291196">
      <w:pPr>
        <w:pStyle w:val="3"/>
        <w:rPr>
          <w:i/>
          <w:iCs/>
          <w:color w:val="000000" w:themeColor="text1"/>
          <w:lang w:val="en-GB"/>
        </w:rPr>
      </w:pPr>
      <w:r>
        <w:rPr>
          <w:color w:val="000000" w:themeColor="text1"/>
          <w:lang w:val="en-GB"/>
        </w:rPr>
        <w:t>S</w:t>
      </w:r>
      <w:r w:rsidR="00291196" w:rsidRPr="00A079CB">
        <w:rPr>
          <w:color w:val="000000" w:themeColor="text1"/>
          <w:lang w:val="en-GB"/>
        </w:rPr>
        <w:t>.R.2.1 Force-displacement curves</w:t>
      </w:r>
    </w:p>
    <w:p w14:paraId="714EC06F" w14:textId="77777777" w:rsidR="00291196" w:rsidRPr="00A079CB" w:rsidRDefault="00291196" w:rsidP="00291196">
      <w:pPr>
        <w:ind w:firstLineChars="0" w:firstLine="0"/>
        <w:rPr>
          <w:rFonts w:eastAsia="Arial"/>
          <w:color w:val="000000" w:themeColor="text1"/>
          <w:kern w:val="0"/>
          <w:lang w:val="en-GB"/>
        </w:rPr>
      </w:pPr>
      <w:r w:rsidRPr="00A079CB">
        <w:rPr>
          <w:rFonts w:eastAsia="Arial"/>
          <w:color w:val="000000" w:themeColor="text1"/>
          <w:kern w:val="0"/>
          <w:lang w:val="en-GB"/>
        </w:rPr>
        <w:t>Dynamic loading</w:t>
      </w:r>
    </w:p>
    <w:p w14:paraId="7539612D" w14:textId="77777777" w:rsidR="00291196" w:rsidRPr="00A079CB" w:rsidRDefault="00291196" w:rsidP="00291196">
      <w:pPr>
        <w:ind w:firstLineChars="0" w:firstLine="0"/>
        <w:jc w:val="left"/>
        <w:rPr>
          <w:rFonts w:eastAsia="Arial"/>
          <w:color w:val="000000" w:themeColor="text1"/>
          <w:kern w:val="0"/>
          <w:lang w:val="en-GB"/>
        </w:rPr>
      </w:pPr>
      <w:r w:rsidRPr="00A079CB">
        <w:rPr>
          <w:rFonts w:eastAsia="Arial"/>
          <w:noProof/>
          <w:color w:val="000000" w:themeColor="text1"/>
          <w:kern w:val="0"/>
          <w:lang w:val="en-GB"/>
        </w:rPr>
        <w:drawing>
          <wp:inline distT="0" distB="0" distL="0" distR="0" wp14:anchorId="05C45AA8" wp14:editId="31332236">
            <wp:extent cx="6181090" cy="4638040"/>
            <wp:effectExtent l="0" t="0" r="0" b="0"/>
            <wp:docPr id="426806232" name="Picture 9" descr="A graph of a number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806232" name="Picture 9" descr="A graph of a number of numbers&#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81090" cy="4638040"/>
                    </a:xfrm>
                    <a:prstGeom prst="rect">
                      <a:avLst/>
                    </a:prstGeom>
                    <a:noFill/>
                    <a:ln>
                      <a:noFill/>
                    </a:ln>
                  </pic:spPr>
                </pic:pic>
              </a:graphicData>
            </a:graphic>
          </wp:inline>
        </w:drawing>
      </w:r>
    </w:p>
    <w:p w14:paraId="3551E91E" w14:textId="77777777" w:rsidR="00291196" w:rsidRPr="00A079CB" w:rsidRDefault="00291196" w:rsidP="00291196">
      <w:pPr>
        <w:ind w:firstLineChars="0" w:firstLine="0"/>
        <w:rPr>
          <w:rFonts w:eastAsia="Arial"/>
          <w:color w:val="000000" w:themeColor="text1"/>
          <w:kern w:val="0"/>
          <w:lang w:val="en-GB"/>
        </w:rPr>
      </w:pPr>
      <w:r w:rsidRPr="00A079CB">
        <w:rPr>
          <w:rFonts w:eastAsia="Arial"/>
          <w:color w:val="000000" w:themeColor="text1"/>
          <w:kern w:val="0"/>
          <w:lang w:val="en-GB"/>
        </w:rPr>
        <w:t>Active dynamic unloading</w:t>
      </w:r>
    </w:p>
    <w:p w14:paraId="226901C9" w14:textId="2901E602" w:rsidR="00291196" w:rsidRPr="00A079CB" w:rsidRDefault="00291196" w:rsidP="00291196">
      <w:pPr>
        <w:pStyle w:val="aff5"/>
        <w:rPr>
          <w:b w:val="0"/>
          <w:bCs w:val="0"/>
          <w:color w:val="000000" w:themeColor="text1"/>
          <w:lang w:val="en-GB"/>
        </w:rPr>
      </w:pPr>
      <w:r w:rsidRPr="00A079CB">
        <w:rPr>
          <w:noProof/>
          <w:color w:val="000000" w:themeColor="text1"/>
          <w:lang w:val="en-GB"/>
        </w:rPr>
        <w:drawing>
          <wp:inline distT="0" distB="0" distL="0" distR="0" wp14:anchorId="3CF2BD8D" wp14:editId="11B45174">
            <wp:extent cx="6181090" cy="4638040"/>
            <wp:effectExtent l="0" t="0" r="0" b="0"/>
            <wp:docPr id="867029276" name="Picture 10" descr="A collage of images of a wor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029276" name="Picture 10" descr="A collage of images of a worm&#10;&#10;Description automatically generated with medium confidenc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81090" cy="4638040"/>
                    </a:xfrm>
                    <a:prstGeom prst="rect">
                      <a:avLst/>
                    </a:prstGeom>
                    <a:noFill/>
                    <a:ln>
                      <a:noFill/>
                    </a:ln>
                  </pic:spPr>
                </pic:pic>
              </a:graphicData>
            </a:graphic>
          </wp:inline>
        </w:drawing>
      </w:r>
      <w:r w:rsidRPr="00A079CB">
        <w:rPr>
          <w:color w:val="000000" w:themeColor="text1"/>
          <w:lang w:val="en-GB"/>
        </w:rPr>
        <w:t xml:space="preserve">Figure </w:t>
      </w:r>
      <w:r w:rsidR="00DE0773">
        <w:rPr>
          <w:color w:val="000000" w:themeColor="text1"/>
          <w:lang w:val="en-GB"/>
        </w:rPr>
        <w:t>S</w:t>
      </w:r>
      <w:r w:rsidR="00DE0773" w:rsidRPr="00A079CB">
        <w:rPr>
          <w:color w:val="000000" w:themeColor="text1"/>
          <w:lang w:val="en-GB"/>
        </w:rPr>
        <w:t>3</w:t>
      </w:r>
      <w:r w:rsidRPr="00A079CB">
        <w:rPr>
          <w:color w:val="000000" w:themeColor="text1"/>
          <w:lang w:val="en-GB"/>
        </w:rPr>
        <w:t>: Force-displacement curves of all the samples, of both groups, on the three loading days, at cycles 15 and 1439.</w:t>
      </w:r>
      <w:r w:rsidRPr="00A079CB">
        <w:rPr>
          <w:b w:val="0"/>
          <w:bCs w:val="0"/>
          <w:color w:val="000000" w:themeColor="text1"/>
          <w:lang w:val="en-GB"/>
        </w:rPr>
        <w:t xml:space="preserve"> Both parts of each curve are plotted in different colours. The area under the curve is represented by the grey area in between both parts of each curve. </w:t>
      </w:r>
      <w:bookmarkStart w:id="2" w:name="_Hlk161933025"/>
      <w:r w:rsidRPr="00A079CB">
        <w:rPr>
          <w:b w:val="0"/>
          <w:bCs w:val="0"/>
          <w:color w:val="000000" w:themeColor="text1"/>
          <w:lang w:val="en-GB"/>
        </w:rPr>
        <w:t xml:space="preserve">In the active dynamic unloading group, the neutral zone is delimited by the black dots on both parts of each curve. </w:t>
      </w:r>
      <w:bookmarkEnd w:id="2"/>
      <w:r w:rsidRPr="00A079CB">
        <w:rPr>
          <w:b w:val="0"/>
          <w:bCs w:val="0"/>
          <w:color w:val="000000" w:themeColor="text1"/>
          <w:lang w:val="en-GB"/>
        </w:rPr>
        <w:t xml:space="preserve">The scale is identical for both curves of one loading day but varies over loading days and samples to increase the visibility of the shape of the curves. </w:t>
      </w:r>
    </w:p>
    <w:p w14:paraId="3176465A" w14:textId="77777777" w:rsidR="00291196" w:rsidRPr="00A079CB" w:rsidRDefault="00291196" w:rsidP="00291196">
      <w:pPr>
        <w:pStyle w:val="aff5"/>
        <w:rPr>
          <w:b w:val="0"/>
          <w:bCs w:val="0"/>
          <w:color w:val="000000" w:themeColor="text1"/>
          <w:lang w:val="en-GB"/>
        </w:rPr>
      </w:pPr>
      <w:r w:rsidRPr="00A079CB">
        <w:rPr>
          <w:b w:val="0"/>
          <w:bCs w:val="0"/>
          <w:color w:val="000000" w:themeColor="text1"/>
          <w:lang w:val="en-GB"/>
        </w:rPr>
        <w:t>Note: We excluded the elastic zone 2 from the upper part (green part) of the curve of sample T2D5 on the second loading day at cycle 15 (T2D5 Unloading2 Cycle 15) from the analysis of the slope over time (Figure 12 of the Main manuscript) due to the very limited number of data points in that zone and the extremely low coefficient of determination (r</w:t>
      </w:r>
      <w:r w:rsidRPr="00A079CB">
        <w:rPr>
          <w:b w:val="0"/>
          <w:bCs w:val="0"/>
          <w:color w:val="000000" w:themeColor="text1"/>
          <w:vertAlign w:val="superscript"/>
          <w:lang w:val="en-GB"/>
        </w:rPr>
        <w:t>2</w:t>
      </w:r>
      <w:r w:rsidRPr="00A079CB">
        <w:rPr>
          <w:b w:val="0"/>
          <w:bCs w:val="0"/>
          <w:color w:val="000000" w:themeColor="text1"/>
          <w:lang w:val="en-GB"/>
        </w:rPr>
        <w:t>=0.07) indicative of an unrepresentative stiffness value.</w:t>
      </w:r>
    </w:p>
    <w:p w14:paraId="2175A55E" w14:textId="48E19698" w:rsidR="00291196" w:rsidRPr="00A079CB" w:rsidRDefault="00DE0773" w:rsidP="00291196">
      <w:pPr>
        <w:pStyle w:val="3"/>
        <w:rPr>
          <w:color w:val="000000" w:themeColor="text1"/>
          <w:lang w:val="en-GB"/>
        </w:rPr>
      </w:pPr>
      <w:r>
        <w:rPr>
          <w:color w:val="000000" w:themeColor="text1"/>
          <w:lang w:val="en-GB"/>
        </w:rPr>
        <w:t>S</w:t>
      </w:r>
      <w:r w:rsidR="00291196" w:rsidRPr="00A079CB">
        <w:rPr>
          <w:color w:val="000000" w:themeColor="text1"/>
          <w:lang w:val="en-GB"/>
        </w:rPr>
        <w:t>.R.2.2 Displacement over time</w:t>
      </w:r>
    </w:p>
    <w:p w14:paraId="3955C33E" w14:textId="77777777" w:rsidR="00291196" w:rsidRPr="00A079CB" w:rsidRDefault="00291196" w:rsidP="00291196">
      <w:pPr>
        <w:ind w:firstLineChars="0" w:firstLine="0"/>
        <w:rPr>
          <w:rFonts w:eastAsia="Arial"/>
          <w:color w:val="000000" w:themeColor="text1"/>
          <w:kern w:val="0"/>
          <w:lang w:val="en-GB"/>
        </w:rPr>
      </w:pPr>
      <w:r w:rsidRPr="00A079CB">
        <w:rPr>
          <w:rFonts w:eastAsia="Arial"/>
          <w:noProof/>
          <w:color w:val="000000" w:themeColor="text1"/>
          <w:kern w:val="0"/>
          <w:lang w:val="en-GB"/>
        </w:rPr>
        <w:drawing>
          <wp:inline distT="0" distB="0" distL="0" distR="0" wp14:anchorId="14670FE2" wp14:editId="4DA58ED4">
            <wp:extent cx="6188710" cy="1302385"/>
            <wp:effectExtent l="0" t="0" r="2540" b="0"/>
            <wp:docPr id="1051949192" name="Picture 11" descr="A diagram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949192" name="Picture 11" descr="A diagram of a graph&#10;&#10;Description automatically generated with medium confiden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88710" cy="1302385"/>
                    </a:xfrm>
                    <a:prstGeom prst="rect">
                      <a:avLst/>
                    </a:prstGeom>
                    <a:noFill/>
                    <a:ln>
                      <a:noFill/>
                    </a:ln>
                  </pic:spPr>
                </pic:pic>
              </a:graphicData>
            </a:graphic>
          </wp:inline>
        </w:drawing>
      </w:r>
      <w:r w:rsidRPr="00A079CB">
        <w:rPr>
          <w:rFonts w:eastAsia="Arial"/>
          <w:color w:val="000000" w:themeColor="text1"/>
          <w:kern w:val="0"/>
          <w:lang w:val="en-GB"/>
        </w:rPr>
        <w:t xml:space="preserve">  </w:t>
      </w:r>
    </w:p>
    <w:p w14:paraId="0C60ED58" w14:textId="115B2415" w:rsidR="00CA7A91" w:rsidRDefault="00291196" w:rsidP="00EE73B4">
      <w:pPr>
        <w:pStyle w:val="aff5"/>
        <w:rPr>
          <w:b w:val="0"/>
          <w:bCs w:val="0"/>
          <w:color w:val="000000" w:themeColor="text1"/>
          <w:lang w:val="en-GB"/>
        </w:rPr>
      </w:pPr>
      <w:r w:rsidRPr="00A079CB">
        <w:rPr>
          <w:color w:val="000000" w:themeColor="text1"/>
          <w:lang w:val="en-GB"/>
        </w:rPr>
        <w:t xml:space="preserve">Figure </w:t>
      </w:r>
      <w:r w:rsidR="00DE0773">
        <w:rPr>
          <w:color w:val="000000" w:themeColor="text1"/>
          <w:lang w:val="en-GB"/>
        </w:rPr>
        <w:t>S</w:t>
      </w:r>
      <w:r w:rsidR="00DE0773" w:rsidRPr="00A079CB">
        <w:rPr>
          <w:color w:val="000000" w:themeColor="text1"/>
          <w:lang w:val="en-GB"/>
        </w:rPr>
        <w:t>4</w:t>
      </w:r>
      <w:r w:rsidRPr="00A079CB">
        <w:rPr>
          <w:color w:val="000000" w:themeColor="text1"/>
          <w:lang w:val="en-GB"/>
        </w:rPr>
        <w:t xml:space="preserve">: Maximum displacement over time of the different samples. </w:t>
      </w:r>
      <w:r w:rsidRPr="00A079CB">
        <w:rPr>
          <w:b w:val="0"/>
          <w:bCs w:val="0"/>
          <w:color w:val="000000" w:themeColor="text1"/>
          <w:lang w:val="en-GB"/>
        </w:rPr>
        <w:t>Samples of the same tail, in both the dynamic loading and the active dynamic unloading groups, for the three loading days are represented in one graph. Each graph represents a different tail.</w:t>
      </w:r>
    </w:p>
    <w:p w14:paraId="7DB82374" w14:textId="77777777" w:rsidR="00F4220E" w:rsidRDefault="00F4220E" w:rsidP="00EE73B4">
      <w:pPr>
        <w:pStyle w:val="aff5"/>
        <w:rPr>
          <w:b w:val="0"/>
          <w:bCs w:val="0"/>
          <w:color w:val="000000" w:themeColor="text1"/>
          <w:lang w:val="en-GB"/>
        </w:rPr>
      </w:pPr>
    </w:p>
    <w:p w14:paraId="3E225F3C" w14:textId="72CEFBE1" w:rsidR="00F4220E" w:rsidRPr="00F4220E" w:rsidRDefault="00F4220E" w:rsidP="00F4220E">
      <w:pPr>
        <w:spacing w:before="240" w:after="240"/>
        <w:ind w:firstLineChars="0" w:firstLine="0"/>
        <w:rPr>
          <w:rFonts w:eastAsiaTheme="minorEastAsia"/>
          <w:b/>
          <w:bCs/>
          <w:color w:val="000000" w:themeColor="text1"/>
          <w:kern w:val="0"/>
          <w:sz w:val="24"/>
          <w:szCs w:val="24"/>
          <w:lang w:val="en-GB"/>
        </w:rPr>
      </w:pPr>
      <w:r>
        <w:rPr>
          <w:rFonts w:eastAsiaTheme="minorEastAsia" w:hint="eastAsia"/>
          <w:b/>
          <w:bCs/>
          <w:color w:val="000000" w:themeColor="text1"/>
          <w:kern w:val="0"/>
          <w:sz w:val="24"/>
          <w:szCs w:val="24"/>
          <w:lang w:val="en-GB"/>
        </w:rPr>
        <w:t>References</w:t>
      </w:r>
    </w:p>
    <w:p w14:paraId="49A1AC0F" w14:textId="024A4182" w:rsidR="00B4525A" w:rsidRPr="00B4525A" w:rsidRDefault="00F4220E" w:rsidP="00B4525A">
      <w:pPr>
        <w:pStyle w:val="aff5"/>
        <w:rPr>
          <w:b w:val="0"/>
          <w:bCs w:val="0"/>
          <w:color w:val="000000" w:themeColor="text1"/>
          <w:lang w:val="en-GB"/>
        </w:rPr>
      </w:pPr>
      <w:r>
        <w:rPr>
          <w:rFonts w:hint="eastAsia"/>
          <w:b w:val="0"/>
          <w:bCs w:val="0"/>
          <w:color w:val="000000" w:themeColor="text1"/>
          <w:lang w:val="en-GB"/>
        </w:rPr>
        <w:t>[</w:t>
      </w:r>
      <w:r w:rsidR="00B4525A" w:rsidRPr="00B4525A">
        <w:rPr>
          <w:b w:val="0"/>
          <w:bCs w:val="0"/>
          <w:color w:val="000000" w:themeColor="text1"/>
          <w:lang w:val="en-GB"/>
        </w:rPr>
        <w:t>80</w:t>
      </w:r>
      <w:r>
        <w:rPr>
          <w:rFonts w:hint="eastAsia"/>
          <w:b w:val="0"/>
          <w:bCs w:val="0"/>
          <w:color w:val="000000" w:themeColor="text1"/>
          <w:lang w:val="en-GB"/>
        </w:rPr>
        <w:t>]</w:t>
      </w:r>
      <w:r w:rsidR="00B4525A" w:rsidRPr="00B4525A">
        <w:rPr>
          <w:b w:val="0"/>
          <w:bCs w:val="0"/>
          <w:color w:val="000000" w:themeColor="text1"/>
          <w:lang w:val="en-GB"/>
        </w:rPr>
        <w:t xml:space="preserve"> Bankhead P. Analyzing fluorescence microscopy images with ImageJ. Nikon Imaging Center@Heidelberg University: Heidelberg University. 2010</w:t>
      </w:r>
      <w:r w:rsidR="00442E57" w:rsidRPr="00442E57">
        <w:rPr>
          <w:b w:val="0"/>
          <w:bCs w:val="0"/>
          <w:color w:val="000000" w:themeColor="text1"/>
          <w:lang w:val="en-GB"/>
        </w:rPr>
        <w:t>‒</w:t>
      </w:r>
      <w:r w:rsidR="00B4525A" w:rsidRPr="00B4525A">
        <w:rPr>
          <w:b w:val="0"/>
          <w:bCs w:val="0"/>
          <w:color w:val="000000" w:themeColor="text1"/>
          <w:lang w:val="en-GB"/>
        </w:rPr>
        <w:t>2012.</w:t>
      </w:r>
    </w:p>
    <w:p w14:paraId="2EFB49E4" w14:textId="5CDE1F9C" w:rsidR="00B4525A" w:rsidRPr="00442E57" w:rsidRDefault="00F4220E" w:rsidP="00B4525A">
      <w:pPr>
        <w:pStyle w:val="aff5"/>
        <w:rPr>
          <w:color w:val="000000" w:themeColor="text1"/>
        </w:rPr>
      </w:pPr>
      <w:r>
        <w:rPr>
          <w:rFonts w:hint="eastAsia"/>
          <w:b w:val="0"/>
          <w:bCs w:val="0"/>
          <w:color w:val="000000" w:themeColor="text1"/>
          <w:lang w:val="en-GB"/>
        </w:rPr>
        <w:t>[</w:t>
      </w:r>
      <w:r w:rsidR="00B4525A" w:rsidRPr="00B4525A">
        <w:rPr>
          <w:b w:val="0"/>
          <w:bCs w:val="0"/>
          <w:color w:val="000000" w:themeColor="text1"/>
          <w:lang w:val="en-GB"/>
        </w:rPr>
        <w:t>81</w:t>
      </w:r>
      <w:r>
        <w:rPr>
          <w:rFonts w:hint="eastAsia"/>
          <w:b w:val="0"/>
          <w:bCs w:val="0"/>
          <w:color w:val="000000" w:themeColor="text1"/>
          <w:lang w:val="en-GB"/>
        </w:rPr>
        <w:t>]</w:t>
      </w:r>
      <w:r w:rsidR="00B4525A" w:rsidRPr="00B4525A">
        <w:rPr>
          <w:b w:val="0"/>
          <w:bCs w:val="0"/>
          <w:color w:val="000000" w:themeColor="text1"/>
          <w:lang w:val="en-GB"/>
        </w:rPr>
        <w:t xml:space="preserve"> Watson PF, Petrie A. Method agreement analysis: a review of correct methodology. Theriogenology. 2010; 73: 1167</w:t>
      </w:r>
      <w:r w:rsidR="00442E57" w:rsidRPr="00442E57">
        <w:rPr>
          <w:color w:val="000000" w:themeColor="text1"/>
        </w:rPr>
        <w:t>‒</w:t>
      </w:r>
      <w:r w:rsidR="00B4525A" w:rsidRPr="00B4525A">
        <w:rPr>
          <w:b w:val="0"/>
          <w:bCs w:val="0"/>
          <w:color w:val="000000" w:themeColor="text1"/>
          <w:lang w:val="en-GB"/>
        </w:rPr>
        <w:t>1179. https://doi.org/10.1016/j.theriogenology.2010.01.003.</w:t>
      </w:r>
    </w:p>
    <w:sectPr w:rsidR="00B4525A" w:rsidRPr="00442E57">
      <w:headerReference w:type="even" r:id="rId14"/>
      <w:headerReference w:type="default" r:id="rId15"/>
      <w:footerReference w:type="even" r:id="rId16"/>
      <w:footerReference w:type="default" r:id="rId17"/>
      <w:headerReference w:type="first" r:id="rId18"/>
      <w:footerReference w:type="first" r:id="rId19"/>
      <w:pgSz w:w="11906" w:h="16838"/>
      <w:pgMar w:top="1440" w:right="1080" w:bottom="1440" w:left="1080" w:header="1134" w:footer="567" w:gutter="0"/>
      <w:lnNumType w:countBy="1" w:restart="continuous"/>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CFE5E1" w14:textId="77777777" w:rsidR="000D2764" w:rsidRDefault="000D2764">
      <w:pPr>
        <w:ind w:firstLine="420"/>
      </w:pPr>
      <w:r>
        <w:separator/>
      </w:r>
    </w:p>
  </w:endnote>
  <w:endnote w:type="continuationSeparator" w:id="0">
    <w:p w14:paraId="3313E527" w14:textId="77777777" w:rsidR="000D2764" w:rsidRDefault="000D2764">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Book Antiqua">
    <w:panose1 w:val="02040602050305030304"/>
    <w:charset w:val="00"/>
    <w:family w:val="roman"/>
    <w:pitch w:val="variable"/>
    <w:sig w:usb0="00000287" w:usb1="00000000" w:usb2="00000000" w:usb3="00000000" w:csb0="0000009F" w:csb1="00000000"/>
  </w:font>
  <w:font w:name="NimbusRomNo9L">
    <w:altName w:val="Calibri"/>
    <w:charset w:val="00"/>
    <w:family w:val="auto"/>
    <w:pitch w:val="default"/>
    <w:sig w:usb0="00000000" w:usb1="00000000" w:usb2="00000000" w:usb3="00000000" w:csb0="0000009F" w:csb1="00000000"/>
  </w:font>
  <w:font w:name="等线 Light">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0DE4F9" w14:textId="77777777" w:rsidR="00CA7A91" w:rsidRDefault="00CA7A91">
    <w:pPr>
      <w:pStyle w:val="a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5755CB" w14:textId="77777777" w:rsidR="00CA7A91" w:rsidRDefault="00CA7A91">
    <w:pPr>
      <w:pStyle w:val="aa"/>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AD1D7" w14:textId="77777777" w:rsidR="00CA7A91" w:rsidRDefault="00CA7A91">
    <w:pPr>
      <w:ind w:firstLineChars="0" w:firstLine="0"/>
      <w:rPr>
        <w:rFonts w:eastAsiaTheme="minor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B97E62" w14:textId="77777777" w:rsidR="000D2764" w:rsidRDefault="000D2764">
      <w:pPr>
        <w:ind w:firstLine="420"/>
      </w:pPr>
      <w:r>
        <w:separator/>
      </w:r>
    </w:p>
  </w:footnote>
  <w:footnote w:type="continuationSeparator" w:id="0">
    <w:p w14:paraId="2866507E" w14:textId="77777777" w:rsidR="000D2764" w:rsidRDefault="000D2764">
      <w:pPr>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A0D057" w14:textId="77777777" w:rsidR="00CA7A91" w:rsidRDefault="00CA7A91">
    <w:pPr>
      <w:pStyle w:val="ac"/>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D950B3" w14:textId="77777777" w:rsidR="00CA7A91" w:rsidRDefault="000E01C1">
    <w:pPr>
      <w:pStyle w:val="ac"/>
      <w:pBdr>
        <w:bottom w:val="none" w:sz="0" w:space="0" w:color="auto"/>
      </w:pBdr>
      <w:ind w:firstLineChars="111"/>
      <w:jc w:val="both"/>
      <w:rPr>
        <w:rFonts w:eastAsiaTheme="minorEastAsia"/>
      </w:rPr>
    </w:pPr>
    <w:r>
      <w:rPr>
        <w:noProof/>
      </w:rPr>
      <w:drawing>
        <wp:inline distT="0" distB="0" distL="0" distR="0" wp14:anchorId="64C1F09B" wp14:editId="7F38545E">
          <wp:extent cx="1429385" cy="503555"/>
          <wp:effectExtent l="0" t="0" r="0" b="0"/>
          <wp:docPr id="163636164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380297"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429748" cy="5040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F0AB3B" w14:textId="77777777" w:rsidR="00CA7A91" w:rsidRDefault="000E01C1">
    <w:pPr>
      <w:pStyle w:val="ac"/>
      <w:pBdr>
        <w:bottom w:val="none" w:sz="0" w:space="0" w:color="auto"/>
      </w:pBdr>
      <w:ind w:right="720" w:firstLineChars="0" w:firstLine="0"/>
      <w:jc w:val="both"/>
      <w:rPr>
        <w:rFonts w:eastAsiaTheme="minorEastAsia"/>
      </w:rPr>
    </w:pPr>
    <w:r>
      <w:rPr>
        <w:noProof/>
      </w:rPr>
      <w:drawing>
        <wp:inline distT="0" distB="0" distL="0" distR="0" wp14:anchorId="2F098B71" wp14:editId="1C373A1B">
          <wp:extent cx="1428115" cy="502920"/>
          <wp:effectExtent l="0" t="0" r="635" b="0"/>
          <wp:docPr id="132728982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563412"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458893" cy="51427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0615E"/>
    <w:multiLevelType w:val="multilevel"/>
    <w:tmpl w:val="0820615E"/>
    <w:lvl w:ilvl="0">
      <w:start w:val="2"/>
      <w:numFmt w:val="bullet"/>
      <w:lvlText w:val="-"/>
      <w:lvlJc w:val="left"/>
      <w:pPr>
        <w:ind w:left="720" w:hanging="360"/>
      </w:pPr>
      <w:rPr>
        <w:rFonts w:ascii="Arial" w:eastAsiaTheme="minorHAnsi" w:hAnsi="Aria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4D661A69"/>
    <w:multiLevelType w:val="multilevel"/>
    <w:tmpl w:val="4D661A69"/>
    <w:lvl w:ilvl="0">
      <w:start w:val="1"/>
      <w:numFmt w:val="decimal"/>
      <w:suff w:val="space"/>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suff w:val="space"/>
      <w:lvlText w:val="%1.%2.%3.%4"/>
      <w:lvlJc w:val="left"/>
      <w:pPr>
        <w:ind w:left="864" w:hanging="864"/>
      </w:pPr>
    </w:lvl>
    <w:lvl w:ilvl="4">
      <w:start w:val="1"/>
      <w:numFmt w:val="decimal"/>
      <w:suff w:val="space"/>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num w:numId="1" w16cid:durableId="1749158802">
    <w:abstractNumId w:val="1"/>
  </w:num>
  <w:num w:numId="2" w16cid:durableId="24950877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web"/>
  <w:zoom w:percent="100"/>
  <w:bordersDoNotSurroundHeader/>
  <w:bordersDoNotSurroundFooter/>
  <w:trackRevisions/>
  <w:defaultTabStop w:val="420"/>
  <w:drawingGridHorizontalSpacing w:val="108"/>
  <w:drawingGridVerticalSpacing w:val="159"/>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mVhZjhjN2Q4MzY2NTZkYjMyYjY4M2YxNTU5MzBhNjcifQ=="/>
    <w:docVar w:name="EN.InstantFormat" w:val="&lt;ENInstantFormat&gt;&lt;Enabled&gt;1&lt;/Enabled&gt;&lt;ScanUnformatted&gt;1&lt;/ScanUnformatted&gt;&lt;ScanChanges&gt;1&lt;/ScanChanges&gt;&lt;Suspended&gt;1&lt;/Suspended&gt;&lt;/ENInstantFormat&gt;"/>
    <w:docVar w:name="EN.Layout" w:val="&lt;ENLayout&gt;&lt;Style&gt;IMR Press&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5pppzr2fiz9w5werefnv9p992x5rwrrpzvv2&quot;&gt;IVD literature database-Converted&lt;record-ids&gt;&lt;item&gt;734&lt;/item&gt;&lt;item&gt;818&lt;/item&gt;&lt;item&gt;826&lt;/item&gt;&lt;item&gt;861&lt;/item&gt;&lt;item&gt;919&lt;/item&gt;&lt;item&gt;1099&lt;/item&gt;&lt;item&gt;1148&lt;/item&gt;&lt;item&gt;1149&lt;/item&gt;&lt;item&gt;1151&lt;/item&gt;&lt;/record-ids&gt;&lt;/item&gt;&lt;/Libraries&gt;"/>
    <w:docVar w:name="EN.UseJSCitationFormat" w:val="False"/>
  </w:docVars>
  <w:rsids>
    <w:rsidRoot w:val="009E5ACC"/>
    <w:rsid w:val="00002C75"/>
    <w:rsid w:val="000031C8"/>
    <w:rsid w:val="0000541D"/>
    <w:rsid w:val="00006B0E"/>
    <w:rsid w:val="00007F41"/>
    <w:rsid w:val="00010846"/>
    <w:rsid w:val="00013F0E"/>
    <w:rsid w:val="0001498B"/>
    <w:rsid w:val="000179A6"/>
    <w:rsid w:val="00017A4A"/>
    <w:rsid w:val="000208F9"/>
    <w:rsid w:val="00022031"/>
    <w:rsid w:val="000232E3"/>
    <w:rsid w:val="00023405"/>
    <w:rsid w:val="00024B7C"/>
    <w:rsid w:val="00024B86"/>
    <w:rsid w:val="00025777"/>
    <w:rsid w:val="0003257C"/>
    <w:rsid w:val="00036C4F"/>
    <w:rsid w:val="00037E9F"/>
    <w:rsid w:val="00041985"/>
    <w:rsid w:val="00041CE3"/>
    <w:rsid w:val="00043685"/>
    <w:rsid w:val="00043B98"/>
    <w:rsid w:val="000450CD"/>
    <w:rsid w:val="0004529F"/>
    <w:rsid w:val="00045B41"/>
    <w:rsid w:val="00052239"/>
    <w:rsid w:val="00053C56"/>
    <w:rsid w:val="000566B7"/>
    <w:rsid w:val="00060875"/>
    <w:rsid w:val="0006111D"/>
    <w:rsid w:val="0006155B"/>
    <w:rsid w:val="000644D3"/>
    <w:rsid w:val="00065654"/>
    <w:rsid w:val="00065B30"/>
    <w:rsid w:val="000663FD"/>
    <w:rsid w:val="000709F7"/>
    <w:rsid w:val="00071890"/>
    <w:rsid w:val="00072490"/>
    <w:rsid w:val="00075CEC"/>
    <w:rsid w:val="00075FEA"/>
    <w:rsid w:val="0007645B"/>
    <w:rsid w:val="000766C1"/>
    <w:rsid w:val="00077470"/>
    <w:rsid w:val="000833D1"/>
    <w:rsid w:val="0009173D"/>
    <w:rsid w:val="000943D4"/>
    <w:rsid w:val="000946FB"/>
    <w:rsid w:val="00097C92"/>
    <w:rsid w:val="000A172C"/>
    <w:rsid w:val="000A2E71"/>
    <w:rsid w:val="000A4065"/>
    <w:rsid w:val="000A4417"/>
    <w:rsid w:val="000A45C1"/>
    <w:rsid w:val="000B32D8"/>
    <w:rsid w:val="000B35D5"/>
    <w:rsid w:val="000B5ECF"/>
    <w:rsid w:val="000B721C"/>
    <w:rsid w:val="000B7D61"/>
    <w:rsid w:val="000C3D53"/>
    <w:rsid w:val="000C54D0"/>
    <w:rsid w:val="000C5D98"/>
    <w:rsid w:val="000C69C9"/>
    <w:rsid w:val="000C6FB1"/>
    <w:rsid w:val="000C7BCB"/>
    <w:rsid w:val="000D0231"/>
    <w:rsid w:val="000D1ED9"/>
    <w:rsid w:val="000D2186"/>
    <w:rsid w:val="000D2764"/>
    <w:rsid w:val="000D3DF2"/>
    <w:rsid w:val="000D56E8"/>
    <w:rsid w:val="000D6068"/>
    <w:rsid w:val="000D6EAE"/>
    <w:rsid w:val="000D7258"/>
    <w:rsid w:val="000E01C1"/>
    <w:rsid w:val="000E0299"/>
    <w:rsid w:val="000E05CB"/>
    <w:rsid w:val="000E119C"/>
    <w:rsid w:val="000E7B24"/>
    <w:rsid w:val="000F16DA"/>
    <w:rsid w:val="000F1D21"/>
    <w:rsid w:val="000F20BC"/>
    <w:rsid w:val="000F28CA"/>
    <w:rsid w:val="000F33EC"/>
    <w:rsid w:val="001028D0"/>
    <w:rsid w:val="00103FBE"/>
    <w:rsid w:val="001044F9"/>
    <w:rsid w:val="0010540D"/>
    <w:rsid w:val="001058BF"/>
    <w:rsid w:val="001058C5"/>
    <w:rsid w:val="0010669B"/>
    <w:rsid w:val="001069F4"/>
    <w:rsid w:val="00107A4C"/>
    <w:rsid w:val="001100B6"/>
    <w:rsid w:val="00116E32"/>
    <w:rsid w:val="00117004"/>
    <w:rsid w:val="001222F2"/>
    <w:rsid w:val="00122EBB"/>
    <w:rsid w:val="00125AE1"/>
    <w:rsid w:val="00130455"/>
    <w:rsid w:val="00136102"/>
    <w:rsid w:val="00140D1D"/>
    <w:rsid w:val="00142206"/>
    <w:rsid w:val="0014238F"/>
    <w:rsid w:val="001429E9"/>
    <w:rsid w:val="00144064"/>
    <w:rsid w:val="00145C81"/>
    <w:rsid w:val="00150522"/>
    <w:rsid w:val="0015163E"/>
    <w:rsid w:val="00152451"/>
    <w:rsid w:val="00156F00"/>
    <w:rsid w:val="00160147"/>
    <w:rsid w:val="00161E17"/>
    <w:rsid w:val="00161EC3"/>
    <w:rsid w:val="001650BD"/>
    <w:rsid w:val="00165B3C"/>
    <w:rsid w:val="001665F6"/>
    <w:rsid w:val="001667E8"/>
    <w:rsid w:val="00166F5A"/>
    <w:rsid w:val="00171639"/>
    <w:rsid w:val="0017180E"/>
    <w:rsid w:val="00177274"/>
    <w:rsid w:val="00177CA4"/>
    <w:rsid w:val="001846D3"/>
    <w:rsid w:val="001858B5"/>
    <w:rsid w:val="00185E97"/>
    <w:rsid w:val="0018680B"/>
    <w:rsid w:val="00193993"/>
    <w:rsid w:val="001947CD"/>
    <w:rsid w:val="00195416"/>
    <w:rsid w:val="0019718E"/>
    <w:rsid w:val="001A1CD0"/>
    <w:rsid w:val="001A2BCE"/>
    <w:rsid w:val="001A386E"/>
    <w:rsid w:val="001A3BE2"/>
    <w:rsid w:val="001A5014"/>
    <w:rsid w:val="001A55D1"/>
    <w:rsid w:val="001A6DED"/>
    <w:rsid w:val="001B0E95"/>
    <w:rsid w:val="001B12BC"/>
    <w:rsid w:val="001B2229"/>
    <w:rsid w:val="001B4A5A"/>
    <w:rsid w:val="001B4FF6"/>
    <w:rsid w:val="001B563D"/>
    <w:rsid w:val="001B57F7"/>
    <w:rsid w:val="001B5E86"/>
    <w:rsid w:val="001C0E83"/>
    <w:rsid w:val="001C4F99"/>
    <w:rsid w:val="001C71C1"/>
    <w:rsid w:val="001D0333"/>
    <w:rsid w:val="001D0572"/>
    <w:rsid w:val="001D0E7B"/>
    <w:rsid w:val="001D2967"/>
    <w:rsid w:val="001D336E"/>
    <w:rsid w:val="001D3AD3"/>
    <w:rsid w:val="001D470A"/>
    <w:rsid w:val="001D53A4"/>
    <w:rsid w:val="001D7ADB"/>
    <w:rsid w:val="001E0ECC"/>
    <w:rsid w:val="001E11C8"/>
    <w:rsid w:val="001E1785"/>
    <w:rsid w:val="001E2A8A"/>
    <w:rsid w:val="001E41DA"/>
    <w:rsid w:val="001E4938"/>
    <w:rsid w:val="001E4D41"/>
    <w:rsid w:val="001E4F96"/>
    <w:rsid w:val="001E5705"/>
    <w:rsid w:val="001E6DA0"/>
    <w:rsid w:val="001F00CC"/>
    <w:rsid w:val="001F0372"/>
    <w:rsid w:val="001F0B22"/>
    <w:rsid w:val="001F23E1"/>
    <w:rsid w:val="001F4787"/>
    <w:rsid w:val="001F5E74"/>
    <w:rsid w:val="001F62EB"/>
    <w:rsid w:val="00200F3D"/>
    <w:rsid w:val="002015EA"/>
    <w:rsid w:val="00203D79"/>
    <w:rsid w:val="0020500A"/>
    <w:rsid w:val="00205DE8"/>
    <w:rsid w:val="00211B24"/>
    <w:rsid w:val="00212523"/>
    <w:rsid w:val="00213BB8"/>
    <w:rsid w:val="0021561A"/>
    <w:rsid w:val="0021587A"/>
    <w:rsid w:val="00216C34"/>
    <w:rsid w:val="00217EB8"/>
    <w:rsid w:val="0022036F"/>
    <w:rsid w:val="0022178F"/>
    <w:rsid w:val="0022303F"/>
    <w:rsid w:val="0022611E"/>
    <w:rsid w:val="0022621A"/>
    <w:rsid w:val="00226416"/>
    <w:rsid w:val="00226FA0"/>
    <w:rsid w:val="00230EAC"/>
    <w:rsid w:val="00231F14"/>
    <w:rsid w:val="00241242"/>
    <w:rsid w:val="00241CF6"/>
    <w:rsid w:val="00241D18"/>
    <w:rsid w:val="002465D5"/>
    <w:rsid w:val="00246CEC"/>
    <w:rsid w:val="00247F9E"/>
    <w:rsid w:val="00252EA2"/>
    <w:rsid w:val="0025612E"/>
    <w:rsid w:val="00257830"/>
    <w:rsid w:val="00260745"/>
    <w:rsid w:val="002607AE"/>
    <w:rsid w:val="00260E8D"/>
    <w:rsid w:val="002639E1"/>
    <w:rsid w:val="00264861"/>
    <w:rsid w:val="00266B3B"/>
    <w:rsid w:val="00266CEC"/>
    <w:rsid w:val="00266D84"/>
    <w:rsid w:val="00270404"/>
    <w:rsid w:val="00270EB8"/>
    <w:rsid w:val="00271E46"/>
    <w:rsid w:val="00275443"/>
    <w:rsid w:val="00286D60"/>
    <w:rsid w:val="00287C40"/>
    <w:rsid w:val="00290CA6"/>
    <w:rsid w:val="00291196"/>
    <w:rsid w:val="002917CA"/>
    <w:rsid w:val="00291D17"/>
    <w:rsid w:val="00292B0D"/>
    <w:rsid w:val="00293710"/>
    <w:rsid w:val="0029412F"/>
    <w:rsid w:val="0029463E"/>
    <w:rsid w:val="00295C2D"/>
    <w:rsid w:val="00295EFD"/>
    <w:rsid w:val="00297DC6"/>
    <w:rsid w:val="002A22E3"/>
    <w:rsid w:val="002A2FCD"/>
    <w:rsid w:val="002A38BA"/>
    <w:rsid w:val="002A4D09"/>
    <w:rsid w:val="002A584F"/>
    <w:rsid w:val="002A6798"/>
    <w:rsid w:val="002A7807"/>
    <w:rsid w:val="002B339E"/>
    <w:rsid w:val="002B37AC"/>
    <w:rsid w:val="002B3CC2"/>
    <w:rsid w:val="002B59EB"/>
    <w:rsid w:val="002B6F37"/>
    <w:rsid w:val="002C1928"/>
    <w:rsid w:val="002C202A"/>
    <w:rsid w:val="002C4EB0"/>
    <w:rsid w:val="002C53E8"/>
    <w:rsid w:val="002D0514"/>
    <w:rsid w:val="002D1441"/>
    <w:rsid w:val="002D3BFD"/>
    <w:rsid w:val="002D54D1"/>
    <w:rsid w:val="002D6FC7"/>
    <w:rsid w:val="002D78B6"/>
    <w:rsid w:val="002E02A8"/>
    <w:rsid w:val="002E0795"/>
    <w:rsid w:val="002E0DBD"/>
    <w:rsid w:val="002E1DE3"/>
    <w:rsid w:val="002E21A1"/>
    <w:rsid w:val="002E3655"/>
    <w:rsid w:val="002E6BF5"/>
    <w:rsid w:val="002F5071"/>
    <w:rsid w:val="002F539F"/>
    <w:rsid w:val="002F622A"/>
    <w:rsid w:val="002F7807"/>
    <w:rsid w:val="00300D6A"/>
    <w:rsid w:val="00304761"/>
    <w:rsid w:val="00305024"/>
    <w:rsid w:val="00306A9B"/>
    <w:rsid w:val="00307D22"/>
    <w:rsid w:val="003121EF"/>
    <w:rsid w:val="00316EF1"/>
    <w:rsid w:val="00317DB5"/>
    <w:rsid w:val="0032065F"/>
    <w:rsid w:val="00322547"/>
    <w:rsid w:val="00323686"/>
    <w:rsid w:val="00323F43"/>
    <w:rsid w:val="00324D37"/>
    <w:rsid w:val="003257E1"/>
    <w:rsid w:val="00330882"/>
    <w:rsid w:val="00333F39"/>
    <w:rsid w:val="00334991"/>
    <w:rsid w:val="003349BE"/>
    <w:rsid w:val="0033681B"/>
    <w:rsid w:val="00337EB0"/>
    <w:rsid w:val="00344137"/>
    <w:rsid w:val="003455F2"/>
    <w:rsid w:val="00345A68"/>
    <w:rsid w:val="0034640D"/>
    <w:rsid w:val="00351057"/>
    <w:rsid w:val="00352058"/>
    <w:rsid w:val="00352C75"/>
    <w:rsid w:val="00354CAC"/>
    <w:rsid w:val="00356013"/>
    <w:rsid w:val="00362047"/>
    <w:rsid w:val="00370443"/>
    <w:rsid w:val="0037199D"/>
    <w:rsid w:val="00371F6D"/>
    <w:rsid w:val="0037287A"/>
    <w:rsid w:val="00373506"/>
    <w:rsid w:val="003750D3"/>
    <w:rsid w:val="00382F4D"/>
    <w:rsid w:val="0038333B"/>
    <w:rsid w:val="0038487F"/>
    <w:rsid w:val="003850A7"/>
    <w:rsid w:val="003876B0"/>
    <w:rsid w:val="00393977"/>
    <w:rsid w:val="003941AA"/>
    <w:rsid w:val="00394FFB"/>
    <w:rsid w:val="00395650"/>
    <w:rsid w:val="003956ED"/>
    <w:rsid w:val="00395E99"/>
    <w:rsid w:val="003974AE"/>
    <w:rsid w:val="003A0942"/>
    <w:rsid w:val="003A1A06"/>
    <w:rsid w:val="003A30F5"/>
    <w:rsid w:val="003A4064"/>
    <w:rsid w:val="003A46AF"/>
    <w:rsid w:val="003A60E5"/>
    <w:rsid w:val="003B3D9A"/>
    <w:rsid w:val="003B3ED8"/>
    <w:rsid w:val="003B42B2"/>
    <w:rsid w:val="003B4949"/>
    <w:rsid w:val="003B4A74"/>
    <w:rsid w:val="003B5111"/>
    <w:rsid w:val="003B6F47"/>
    <w:rsid w:val="003C0226"/>
    <w:rsid w:val="003C17E5"/>
    <w:rsid w:val="003C2CA1"/>
    <w:rsid w:val="003C4542"/>
    <w:rsid w:val="003C5A2A"/>
    <w:rsid w:val="003D02A2"/>
    <w:rsid w:val="003D4B2F"/>
    <w:rsid w:val="003D528F"/>
    <w:rsid w:val="003E05DD"/>
    <w:rsid w:val="003E0DE8"/>
    <w:rsid w:val="003E0EAD"/>
    <w:rsid w:val="003E2710"/>
    <w:rsid w:val="003E2D1C"/>
    <w:rsid w:val="003E3E49"/>
    <w:rsid w:val="003E6244"/>
    <w:rsid w:val="003E6558"/>
    <w:rsid w:val="003E731C"/>
    <w:rsid w:val="003F058D"/>
    <w:rsid w:val="003F11C5"/>
    <w:rsid w:val="003F2A98"/>
    <w:rsid w:val="003F3879"/>
    <w:rsid w:val="003F5537"/>
    <w:rsid w:val="003F59E9"/>
    <w:rsid w:val="003F5F21"/>
    <w:rsid w:val="003F6239"/>
    <w:rsid w:val="003F637F"/>
    <w:rsid w:val="0040177D"/>
    <w:rsid w:val="00406DCC"/>
    <w:rsid w:val="00407867"/>
    <w:rsid w:val="004108CF"/>
    <w:rsid w:val="004110E3"/>
    <w:rsid w:val="00412813"/>
    <w:rsid w:val="00412ED0"/>
    <w:rsid w:val="004140F4"/>
    <w:rsid w:val="00415826"/>
    <w:rsid w:val="00416765"/>
    <w:rsid w:val="0041698F"/>
    <w:rsid w:val="004177D7"/>
    <w:rsid w:val="004208D1"/>
    <w:rsid w:val="00420B8E"/>
    <w:rsid w:val="00422B51"/>
    <w:rsid w:val="00422B7F"/>
    <w:rsid w:val="00422F13"/>
    <w:rsid w:val="00423457"/>
    <w:rsid w:val="00424A5E"/>
    <w:rsid w:val="004266E9"/>
    <w:rsid w:val="00426FA4"/>
    <w:rsid w:val="004304E5"/>
    <w:rsid w:val="004314A6"/>
    <w:rsid w:val="00432E4F"/>
    <w:rsid w:val="00433BCC"/>
    <w:rsid w:val="00433E44"/>
    <w:rsid w:val="00435E91"/>
    <w:rsid w:val="00436011"/>
    <w:rsid w:val="00436BDB"/>
    <w:rsid w:val="00436DB2"/>
    <w:rsid w:val="00441196"/>
    <w:rsid w:val="00442E57"/>
    <w:rsid w:val="0044454D"/>
    <w:rsid w:val="004445FA"/>
    <w:rsid w:val="0044566B"/>
    <w:rsid w:val="00446345"/>
    <w:rsid w:val="0044704E"/>
    <w:rsid w:val="00453537"/>
    <w:rsid w:val="004560B5"/>
    <w:rsid w:val="00457D56"/>
    <w:rsid w:val="00460D5F"/>
    <w:rsid w:val="00463683"/>
    <w:rsid w:val="00464333"/>
    <w:rsid w:val="004653EC"/>
    <w:rsid w:val="00472AC2"/>
    <w:rsid w:val="00472EB5"/>
    <w:rsid w:val="00480211"/>
    <w:rsid w:val="00480221"/>
    <w:rsid w:val="00483030"/>
    <w:rsid w:val="0048643C"/>
    <w:rsid w:val="0049158E"/>
    <w:rsid w:val="00491E03"/>
    <w:rsid w:val="004922C9"/>
    <w:rsid w:val="00492F65"/>
    <w:rsid w:val="004938ED"/>
    <w:rsid w:val="004953FE"/>
    <w:rsid w:val="00497A40"/>
    <w:rsid w:val="004A2C92"/>
    <w:rsid w:val="004A6D6D"/>
    <w:rsid w:val="004B00E2"/>
    <w:rsid w:val="004B2D8E"/>
    <w:rsid w:val="004B433F"/>
    <w:rsid w:val="004B4C5D"/>
    <w:rsid w:val="004B5E86"/>
    <w:rsid w:val="004B5F7C"/>
    <w:rsid w:val="004C0C4F"/>
    <w:rsid w:val="004C14C7"/>
    <w:rsid w:val="004C389C"/>
    <w:rsid w:val="004C3C9A"/>
    <w:rsid w:val="004C3F93"/>
    <w:rsid w:val="004C501F"/>
    <w:rsid w:val="004C5307"/>
    <w:rsid w:val="004C5B88"/>
    <w:rsid w:val="004C5C57"/>
    <w:rsid w:val="004D160F"/>
    <w:rsid w:val="004D5DE2"/>
    <w:rsid w:val="004D5F69"/>
    <w:rsid w:val="004D6A9E"/>
    <w:rsid w:val="004D743F"/>
    <w:rsid w:val="004D7E19"/>
    <w:rsid w:val="004E383C"/>
    <w:rsid w:val="004E76FB"/>
    <w:rsid w:val="004F114E"/>
    <w:rsid w:val="004F3402"/>
    <w:rsid w:val="004F4159"/>
    <w:rsid w:val="004F4BB7"/>
    <w:rsid w:val="004F4F68"/>
    <w:rsid w:val="004F5183"/>
    <w:rsid w:val="004F54CB"/>
    <w:rsid w:val="004F65AE"/>
    <w:rsid w:val="004F6BFD"/>
    <w:rsid w:val="004F76D2"/>
    <w:rsid w:val="0050095D"/>
    <w:rsid w:val="00502CA2"/>
    <w:rsid w:val="0050412C"/>
    <w:rsid w:val="005052C6"/>
    <w:rsid w:val="005131AC"/>
    <w:rsid w:val="00515A7D"/>
    <w:rsid w:val="00515F4C"/>
    <w:rsid w:val="00521002"/>
    <w:rsid w:val="00521AC4"/>
    <w:rsid w:val="005238CE"/>
    <w:rsid w:val="005251C0"/>
    <w:rsid w:val="00532BCA"/>
    <w:rsid w:val="005357F5"/>
    <w:rsid w:val="0053691C"/>
    <w:rsid w:val="005410A1"/>
    <w:rsid w:val="00542338"/>
    <w:rsid w:val="00546736"/>
    <w:rsid w:val="00546879"/>
    <w:rsid w:val="005514D4"/>
    <w:rsid w:val="005518D3"/>
    <w:rsid w:val="005570BA"/>
    <w:rsid w:val="005575AE"/>
    <w:rsid w:val="005622DD"/>
    <w:rsid w:val="00563F3A"/>
    <w:rsid w:val="00564368"/>
    <w:rsid w:val="0056458A"/>
    <w:rsid w:val="00565317"/>
    <w:rsid w:val="00570547"/>
    <w:rsid w:val="00570645"/>
    <w:rsid w:val="00572548"/>
    <w:rsid w:val="0057360F"/>
    <w:rsid w:val="005747D1"/>
    <w:rsid w:val="00574ACC"/>
    <w:rsid w:val="0058199F"/>
    <w:rsid w:val="0058222F"/>
    <w:rsid w:val="005922F0"/>
    <w:rsid w:val="0059238B"/>
    <w:rsid w:val="00595DA4"/>
    <w:rsid w:val="00597931"/>
    <w:rsid w:val="005A0C44"/>
    <w:rsid w:val="005A223C"/>
    <w:rsid w:val="005A3549"/>
    <w:rsid w:val="005A4AA9"/>
    <w:rsid w:val="005A6765"/>
    <w:rsid w:val="005B579F"/>
    <w:rsid w:val="005B6C24"/>
    <w:rsid w:val="005B7CF4"/>
    <w:rsid w:val="005B7EB7"/>
    <w:rsid w:val="005C162F"/>
    <w:rsid w:val="005C64E0"/>
    <w:rsid w:val="005D01AF"/>
    <w:rsid w:val="005D06C0"/>
    <w:rsid w:val="005D41EA"/>
    <w:rsid w:val="005D49EE"/>
    <w:rsid w:val="005D6632"/>
    <w:rsid w:val="005D73AD"/>
    <w:rsid w:val="005D7CBB"/>
    <w:rsid w:val="005E1778"/>
    <w:rsid w:val="005E1B17"/>
    <w:rsid w:val="005E1B31"/>
    <w:rsid w:val="005E2171"/>
    <w:rsid w:val="005E31D9"/>
    <w:rsid w:val="005E33C6"/>
    <w:rsid w:val="005E3BD1"/>
    <w:rsid w:val="005E7FDC"/>
    <w:rsid w:val="006002BC"/>
    <w:rsid w:val="00600647"/>
    <w:rsid w:val="0060097F"/>
    <w:rsid w:val="0060564B"/>
    <w:rsid w:val="00613201"/>
    <w:rsid w:val="00614070"/>
    <w:rsid w:val="00615986"/>
    <w:rsid w:val="00616995"/>
    <w:rsid w:val="0062143E"/>
    <w:rsid w:val="00622E52"/>
    <w:rsid w:val="00631D88"/>
    <w:rsid w:val="00632F92"/>
    <w:rsid w:val="00633C1E"/>
    <w:rsid w:val="00636986"/>
    <w:rsid w:val="0064235E"/>
    <w:rsid w:val="00643075"/>
    <w:rsid w:val="00643994"/>
    <w:rsid w:val="00651C66"/>
    <w:rsid w:val="00652025"/>
    <w:rsid w:val="0065385F"/>
    <w:rsid w:val="00653A32"/>
    <w:rsid w:val="006574D1"/>
    <w:rsid w:val="006578FC"/>
    <w:rsid w:val="0066011B"/>
    <w:rsid w:val="00662B3C"/>
    <w:rsid w:val="00667842"/>
    <w:rsid w:val="00667EEC"/>
    <w:rsid w:val="00671E31"/>
    <w:rsid w:val="0067513F"/>
    <w:rsid w:val="006762B6"/>
    <w:rsid w:val="00677A49"/>
    <w:rsid w:val="0068006C"/>
    <w:rsid w:val="006806F0"/>
    <w:rsid w:val="006827F5"/>
    <w:rsid w:val="00682808"/>
    <w:rsid w:val="006834B7"/>
    <w:rsid w:val="00684400"/>
    <w:rsid w:val="00684E24"/>
    <w:rsid w:val="006874AE"/>
    <w:rsid w:val="00687DB7"/>
    <w:rsid w:val="00691A23"/>
    <w:rsid w:val="00691A8B"/>
    <w:rsid w:val="00691B14"/>
    <w:rsid w:val="006944C5"/>
    <w:rsid w:val="006976FF"/>
    <w:rsid w:val="006A684E"/>
    <w:rsid w:val="006B195A"/>
    <w:rsid w:val="006B2BA6"/>
    <w:rsid w:val="006B3D56"/>
    <w:rsid w:val="006B555B"/>
    <w:rsid w:val="006B6A2F"/>
    <w:rsid w:val="006B736F"/>
    <w:rsid w:val="006B76F3"/>
    <w:rsid w:val="006C105C"/>
    <w:rsid w:val="006C210B"/>
    <w:rsid w:val="006C2597"/>
    <w:rsid w:val="006C399C"/>
    <w:rsid w:val="006C3EDE"/>
    <w:rsid w:val="006C4299"/>
    <w:rsid w:val="006C5CDC"/>
    <w:rsid w:val="006C6EBD"/>
    <w:rsid w:val="006D1B14"/>
    <w:rsid w:val="006D2A44"/>
    <w:rsid w:val="006D3A49"/>
    <w:rsid w:val="006D4009"/>
    <w:rsid w:val="006D4241"/>
    <w:rsid w:val="006D4338"/>
    <w:rsid w:val="006D4E4A"/>
    <w:rsid w:val="006D6111"/>
    <w:rsid w:val="006D7449"/>
    <w:rsid w:val="006D7D9D"/>
    <w:rsid w:val="006E2EB6"/>
    <w:rsid w:val="006E566E"/>
    <w:rsid w:val="006E73D4"/>
    <w:rsid w:val="006F6FFA"/>
    <w:rsid w:val="006F7D08"/>
    <w:rsid w:val="00700B74"/>
    <w:rsid w:val="00701E8C"/>
    <w:rsid w:val="007026B4"/>
    <w:rsid w:val="00702DFC"/>
    <w:rsid w:val="0070367D"/>
    <w:rsid w:val="0071081B"/>
    <w:rsid w:val="00710C93"/>
    <w:rsid w:val="0071102C"/>
    <w:rsid w:val="00712458"/>
    <w:rsid w:val="00714E9F"/>
    <w:rsid w:val="00715847"/>
    <w:rsid w:val="00715ED9"/>
    <w:rsid w:val="00722C39"/>
    <w:rsid w:val="00723FC0"/>
    <w:rsid w:val="00724A37"/>
    <w:rsid w:val="0072581A"/>
    <w:rsid w:val="007279CB"/>
    <w:rsid w:val="00730312"/>
    <w:rsid w:val="0073145D"/>
    <w:rsid w:val="00733C43"/>
    <w:rsid w:val="007364E6"/>
    <w:rsid w:val="0073745D"/>
    <w:rsid w:val="00740B43"/>
    <w:rsid w:val="007415A5"/>
    <w:rsid w:val="007420EA"/>
    <w:rsid w:val="007426C0"/>
    <w:rsid w:val="00745398"/>
    <w:rsid w:val="007460F4"/>
    <w:rsid w:val="00746E21"/>
    <w:rsid w:val="00747DE6"/>
    <w:rsid w:val="00747F42"/>
    <w:rsid w:val="00750FB8"/>
    <w:rsid w:val="007522F6"/>
    <w:rsid w:val="00755D51"/>
    <w:rsid w:val="007564AF"/>
    <w:rsid w:val="00756FAF"/>
    <w:rsid w:val="00757AC7"/>
    <w:rsid w:val="00760DEF"/>
    <w:rsid w:val="0076136C"/>
    <w:rsid w:val="00761F41"/>
    <w:rsid w:val="00765091"/>
    <w:rsid w:val="007656F9"/>
    <w:rsid w:val="007729EB"/>
    <w:rsid w:val="00773717"/>
    <w:rsid w:val="00773BAA"/>
    <w:rsid w:val="0077647A"/>
    <w:rsid w:val="00776912"/>
    <w:rsid w:val="00777CBE"/>
    <w:rsid w:val="00780C16"/>
    <w:rsid w:val="007829F9"/>
    <w:rsid w:val="007839CB"/>
    <w:rsid w:val="007841AD"/>
    <w:rsid w:val="007932B2"/>
    <w:rsid w:val="0079445C"/>
    <w:rsid w:val="007952C4"/>
    <w:rsid w:val="007953EF"/>
    <w:rsid w:val="00795F93"/>
    <w:rsid w:val="00797357"/>
    <w:rsid w:val="007A020D"/>
    <w:rsid w:val="007A1FDC"/>
    <w:rsid w:val="007A2221"/>
    <w:rsid w:val="007A319D"/>
    <w:rsid w:val="007A3CCA"/>
    <w:rsid w:val="007A5A0F"/>
    <w:rsid w:val="007A7205"/>
    <w:rsid w:val="007B1531"/>
    <w:rsid w:val="007B1C80"/>
    <w:rsid w:val="007B31E8"/>
    <w:rsid w:val="007B5B3B"/>
    <w:rsid w:val="007B5C30"/>
    <w:rsid w:val="007B7404"/>
    <w:rsid w:val="007C1DEA"/>
    <w:rsid w:val="007C27E5"/>
    <w:rsid w:val="007C44CA"/>
    <w:rsid w:val="007C4D57"/>
    <w:rsid w:val="007C6EE3"/>
    <w:rsid w:val="007C7812"/>
    <w:rsid w:val="007C7F29"/>
    <w:rsid w:val="007D0510"/>
    <w:rsid w:val="007D0C0E"/>
    <w:rsid w:val="007D1D59"/>
    <w:rsid w:val="007D2560"/>
    <w:rsid w:val="007D277A"/>
    <w:rsid w:val="007D34D2"/>
    <w:rsid w:val="007D3557"/>
    <w:rsid w:val="007D3773"/>
    <w:rsid w:val="007D37CA"/>
    <w:rsid w:val="007D663F"/>
    <w:rsid w:val="007D6E08"/>
    <w:rsid w:val="007E0046"/>
    <w:rsid w:val="007E1820"/>
    <w:rsid w:val="007E3EDA"/>
    <w:rsid w:val="007E6024"/>
    <w:rsid w:val="007E762D"/>
    <w:rsid w:val="007E7768"/>
    <w:rsid w:val="007F029A"/>
    <w:rsid w:val="007F263A"/>
    <w:rsid w:val="007F3931"/>
    <w:rsid w:val="007F5FFC"/>
    <w:rsid w:val="007F680E"/>
    <w:rsid w:val="007F7795"/>
    <w:rsid w:val="007F7C63"/>
    <w:rsid w:val="007F7ED0"/>
    <w:rsid w:val="0080393B"/>
    <w:rsid w:val="00805B4A"/>
    <w:rsid w:val="008102F1"/>
    <w:rsid w:val="0081271B"/>
    <w:rsid w:val="00813EE4"/>
    <w:rsid w:val="00817CEF"/>
    <w:rsid w:val="00820814"/>
    <w:rsid w:val="00822AF5"/>
    <w:rsid w:val="00823AF7"/>
    <w:rsid w:val="0082501A"/>
    <w:rsid w:val="00825410"/>
    <w:rsid w:val="008333DF"/>
    <w:rsid w:val="008338C7"/>
    <w:rsid w:val="0083390C"/>
    <w:rsid w:val="00833CEC"/>
    <w:rsid w:val="00833FCC"/>
    <w:rsid w:val="008342B5"/>
    <w:rsid w:val="00837CC6"/>
    <w:rsid w:val="00840266"/>
    <w:rsid w:val="008418F6"/>
    <w:rsid w:val="008423C9"/>
    <w:rsid w:val="0085116F"/>
    <w:rsid w:val="00852351"/>
    <w:rsid w:val="008524BF"/>
    <w:rsid w:val="00852937"/>
    <w:rsid w:val="008548FC"/>
    <w:rsid w:val="00855B06"/>
    <w:rsid w:val="00860A14"/>
    <w:rsid w:val="00863B76"/>
    <w:rsid w:val="00864022"/>
    <w:rsid w:val="0086793C"/>
    <w:rsid w:val="00874AAC"/>
    <w:rsid w:val="00876536"/>
    <w:rsid w:val="00881ABE"/>
    <w:rsid w:val="00881E00"/>
    <w:rsid w:val="008823AB"/>
    <w:rsid w:val="008831FD"/>
    <w:rsid w:val="00883912"/>
    <w:rsid w:val="0088463A"/>
    <w:rsid w:val="00884B4A"/>
    <w:rsid w:val="00886C30"/>
    <w:rsid w:val="00892633"/>
    <w:rsid w:val="00893FE9"/>
    <w:rsid w:val="008949F4"/>
    <w:rsid w:val="00896BAA"/>
    <w:rsid w:val="008A03EB"/>
    <w:rsid w:val="008A0507"/>
    <w:rsid w:val="008A05D3"/>
    <w:rsid w:val="008A0C91"/>
    <w:rsid w:val="008A498A"/>
    <w:rsid w:val="008A4F92"/>
    <w:rsid w:val="008A5ACD"/>
    <w:rsid w:val="008A6465"/>
    <w:rsid w:val="008A752A"/>
    <w:rsid w:val="008B0AA6"/>
    <w:rsid w:val="008B10F3"/>
    <w:rsid w:val="008B221D"/>
    <w:rsid w:val="008B265C"/>
    <w:rsid w:val="008B40F8"/>
    <w:rsid w:val="008B4DF6"/>
    <w:rsid w:val="008B5BF4"/>
    <w:rsid w:val="008C0663"/>
    <w:rsid w:val="008C280B"/>
    <w:rsid w:val="008C28E7"/>
    <w:rsid w:val="008C4717"/>
    <w:rsid w:val="008C6033"/>
    <w:rsid w:val="008D0A7F"/>
    <w:rsid w:val="008D0C1F"/>
    <w:rsid w:val="008D2013"/>
    <w:rsid w:val="008D3CFF"/>
    <w:rsid w:val="008D43CB"/>
    <w:rsid w:val="008D4850"/>
    <w:rsid w:val="008E04B3"/>
    <w:rsid w:val="008E11DF"/>
    <w:rsid w:val="008E33D7"/>
    <w:rsid w:val="008E6B89"/>
    <w:rsid w:val="008E7271"/>
    <w:rsid w:val="008F1E73"/>
    <w:rsid w:val="008F2B5D"/>
    <w:rsid w:val="008F3014"/>
    <w:rsid w:val="008F6B2D"/>
    <w:rsid w:val="008F6DB3"/>
    <w:rsid w:val="00901FA3"/>
    <w:rsid w:val="009021A4"/>
    <w:rsid w:val="009037D5"/>
    <w:rsid w:val="009052A8"/>
    <w:rsid w:val="00905718"/>
    <w:rsid w:val="00906A15"/>
    <w:rsid w:val="0091054E"/>
    <w:rsid w:val="009139E6"/>
    <w:rsid w:val="00914864"/>
    <w:rsid w:val="0092095F"/>
    <w:rsid w:val="00923E49"/>
    <w:rsid w:val="00925B8D"/>
    <w:rsid w:val="00926D77"/>
    <w:rsid w:val="00927936"/>
    <w:rsid w:val="00930853"/>
    <w:rsid w:val="0093172A"/>
    <w:rsid w:val="009338EF"/>
    <w:rsid w:val="00940AF9"/>
    <w:rsid w:val="00943061"/>
    <w:rsid w:val="009435D1"/>
    <w:rsid w:val="009435E4"/>
    <w:rsid w:val="00943CD6"/>
    <w:rsid w:val="009467D7"/>
    <w:rsid w:val="00946DDF"/>
    <w:rsid w:val="009511E2"/>
    <w:rsid w:val="00951EEC"/>
    <w:rsid w:val="009520DF"/>
    <w:rsid w:val="0095474D"/>
    <w:rsid w:val="00954FBC"/>
    <w:rsid w:val="00956D61"/>
    <w:rsid w:val="009572FD"/>
    <w:rsid w:val="00963AAA"/>
    <w:rsid w:val="00963D73"/>
    <w:rsid w:val="009653FE"/>
    <w:rsid w:val="00967C24"/>
    <w:rsid w:val="00974B06"/>
    <w:rsid w:val="0098142E"/>
    <w:rsid w:val="00981C23"/>
    <w:rsid w:val="00984267"/>
    <w:rsid w:val="009869C8"/>
    <w:rsid w:val="00992D88"/>
    <w:rsid w:val="00993AE0"/>
    <w:rsid w:val="009A2774"/>
    <w:rsid w:val="009A40AC"/>
    <w:rsid w:val="009A5246"/>
    <w:rsid w:val="009B04CD"/>
    <w:rsid w:val="009B04EA"/>
    <w:rsid w:val="009B0A26"/>
    <w:rsid w:val="009B1033"/>
    <w:rsid w:val="009B16DD"/>
    <w:rsid w:val="009B2342"/>
    <w:rsid w:val="009B2780"/>
    <w:rsid w:val="009B386B"/>
    <w:rsid w:val="009B3A06"/>
    <w:rsid w:val="009B4209"/>
    <w:rsid w:val="009B5124"/>
    <w:rsid w:val="009B5881"/>
    <w:rsid w:val="009B5ED8"/>
    <w:rsid w:val="009C25BB"/>
    <w:rsid w:val="009C44E9"/>
    <w:rsid w:val="009D05DF"/>
    <w:rsid w:val="009D2E36"/>
    <w:rsid w:val="009D3C31"/>
    <w:rsid w:val="009D71E0"/>
    <w:rsid w:val="009E1656"/>
    <w:rsid w:val="009E19D8"/>
    <w:rsid w:val="009E28C3"/>
    <w:rsid w:val="009E2CFF"/>
    <w:rsid w:val="009E4DD6"/>
    <w:rsid w:val="009E5ACC"/>
    <w:rsid w:val="009F1354"/>
    <w:rsid w:val="009F3559"/>
    <w:rsid w:val="009F3AD6"/>
    <w:rsid w:val="009F4B95"/>
    <w:rsid w:val="009F5616"/>
    <w:rsid w:val="00A00B96"/>
    <w:rsid w:val="00A01693"/>
    <w:rsid w:val="00A02875"/>
    <w:rsid w:val="00A0445E"/>
    <w:rsid w:val="00A06F21"/>
    <w:rsid w:val="00A070FC"/>
    <w:rsid w:val="00A079CB"/>
    <w:rsid w:val="00A11EB2"/>
    <w:rsid w:val="00A11F43"/>
    <w:rsid w:val="00A12747"/>
    <w:rsid w:val="00A12AC4"/>
    <w:rsid w:val="00A12CF6"/>
    <w:rsid w:val="00A17EAF"/>
    <w:rsid w:val="00A17F2F"/>
    <w:rsid w:val="00A200AC"/>
    <w:rsid w:val="00A24A82"/>
    <w:rsid w:val="00A25DBF"/>
    <w:rsid w:val="00A261A9"/>
    <w:rsid w:val="00A2662E"/>
    <w:rsid w:val="00A275F0"/>
    <w:rsid w:val="00A30B04"/>
    <w:rsid w:val="00A312F4"/>
    <w:rsid w:val="00A33610"/>
    <w:rsid w:val="00A33F60"/>
    <w:rsid w:val="00A34AC5"/>
    <w:rsid w:val="00A353CA"/>
    <w:rsid w:val="00A376E2"/>
    <w:rsid w:val="00A440A1"/>
    <w:rsid w:val="00A44DAD"/>
    <w:rsid w:val="00A45776"/>
    <w:rsid w:val="00A45C52"/>
    <w:rsid w:val="00A467A7"/>
    <w:rsid w:val="00A468E4"/>
    <w:rsid w:val="00A501A8"/>
    <w:rsid w:val="00A53230"/>
    <w:rsid w:val="00A53C26"/>
    <w:rsid w:val="00A605B7"/>
    <w:rsid w:val="00A6277D"/>
    <w:rsid w:val="00A62E18"/>
    <w:rsid w:val="00A66474"/>
    <w:rsid w:val="00A72D13"/>
    <w:rsid w:val="00A767F7"/>
    <w:rsid w:val="00A76C82"/>
    <w:rsid w:val="00A77DBF"/>
    <w:rsid w:val="00A805F6"/>
    <w:rsid w:val="00A87B8F"/>
    <w:rsid w:val="00A87EB2"/>
    <w:rsid w:val="00A90626"/>
    <w:rsid w:val="00A9730F"/>
    <w:rsid w:val="00AA0A21"/>
    <w:rsid w:val="00AA0CBA"/>
    <w:rsid w:val="00AA244E"/>
    <w:rsid w:val="00AA2AF5"/>
    <w:rsid w:val="00AA3015"/>
    <w:rsid w:val="00AA3DD0"/>
    <w:rsid w:val="00AA7B6E"/>
    <w:rsid w:val="00AB2DF4"/>
    <w:rsid w:val="00AB3B09"/>
    <w:rsid w:val="00AB4271"/>
    <w:rsid w:val="00AB44D9"/>
    <w:rsid w:val="00AB4A9D"/>
    <w:rsid w:val="00AB55D5"/>
    <w:rsid w:val="00AB5A65"/>
    <w:rsid w:val="00AC05E1"/>
    <w:rsid w:val="00AC13E1"/>
    <w:rsid w:val="00AC2742"/>
    <w:rsid w:val="00AC3B90"/>
    <w:rsid w:val="00AC5BF1"/>
    <w:rsid w:val="00AD32F3"/>
    <w:rsid w:val="00AD48BE"/>
    <w:rsid w:val="00AD5E09"/>
    <w:rsid w:val="00AD608A"/>
    <w:rsid w:val="00AE028E"/>
    <w:rsid w:val="00AE0F60"/>
    <w:rsid w:val="00AE1DEE"/>
    <w:rsid w:val="00AE1E16"/>
    <w:rsid w:val="00AE28AE"/>
    <w:rsid w:val="00AE4C3A"/>
    <w:rsid w:val="00AF0E57"/>
    <w:rsid w:val="00AF10DF"/>
    <w:rsid w:val="00AF12FF"/>
    <w:rsid w:val="00AF4DA2"/>
    <w:rsid w:val="00B00EC4"/>
    <w:rsid w:val="00B01BA4"/>
    <w:rsid w:val="00B0281A"/>
    <w:rsid w:val="00B02CAC"/>
    <w:rsid w:val="00B03754"/>
    <w:rsid w:val="00B03DAC"/>
    <w:rsid w:val="00B04778"/>
    <w:rsid w:val="00B04B53"/>
    <w:rsid w:val="00B06AD3"/>
    <w:rsid w:val="00B11272"/>
    <w:rsid w:val="00B11DD4"/>
    <w:rsid w:val="00B1273C"/>
    <w:rsid w:val="00B21F40"/>
    <w:rsid w:val="00B23594"/>
    <w:rsid w:val="00B27ED4"/>
    <w:rsid w:val="00B308CC"/>
    <w:rsid w:val="00B309A6"/>
    <w:rsid w:val="00B3234A"/>
    <w:rsid w:val="00B32F0C"/>
    <w:rsid w:val="00B330E1"/>
    <w:rsid w:val="00B343D1"/>
    <w:rsid w:val="00B3682B"/>
    <w:rsid w:val="00B37F09"/>
    <w:rsid w:val="00B41D0F"/>
    <w:rsid w:val="00B44FB1"/>
    <w:rsid w:val="00B4525A"/>
    <w:rsid w:val="00B452FF"/>
    <w:rsid w:val="00B45433"/>
    <w:rsid w:val="00B4744E"/>
    <w:rsid w:val="00B527F3"/>
    <w:rsid w:val="00B53367"/>
    <w:rsid w:val="00B550AA"/>
    <w:rsid w:val="00B5516A"/>
    <w:rsid w:val="00B569EB"/>
    <w:rsid w:val="00B60629"/>
    <w:rsid w:val="00B6141B"/>
    <w:rsid w:val="00B62492"/>
    <w:rsid w:val="00B63C7E"/>
    <w:rsid w:val="00B654DA"/>
    <w:rsid w:val="00B67664"/>
    <w:rsid w:val="00B676F9"/>
    <w:rsid w:val="00B710DD"/>
    <w:rsid w:val="00B7664D"/>
    <w:rsid w:val="00B76812"/>
    <w:rsid w:val="00B77A06"/>
    <w:rsid w:val="00B81F2D"/>
    <w:rsid w:val="00B82B56"/>
    <w:rsid w:val="00B92302"/>
    <w:rsid w:val="00B9281B"/>
    <w:rsid w:val="00B929B3"/>
    <w:rsid w:val="00B9672C"/>
    <w:rsid w:val="00B9679C"/>
    <w:rsid w:val="00B9735C"/>
    <w:rsid w:val="00B97AFF"/>
    <w:rsid w:val="00BA26B1"/>
    <w:rsid w:val="00BA2D4D"/>
    <w:rsid w:val="00BA7483"/>
    <w:rsid w:val="00BA7C1E"/>
    <w:rsid w:val="00BB07EC"/>
    <w:rsid w:val="00BB1687"/>
    <w:rsid w:val="00BC02AC"/>
    <w:rsid w:val="00BC30CA"/>
    <w:rsid w:val="00BC3D82"/>
    <w:rsid w:val="00BC4FD0"/>
    <w:rsid w:val="00BC6A8C"/>
    <w:rsid w:val="00BC6B47"/>
    <w:rsid w:val="00BC6F15"/>
    <w:rsid w:val="00BD2789"/>
    <w:rsid w:val="00BD37BC"/>
    <w:rsid w:val="00BD5871"/>
    <w:rsid w:val="00BD7796"/>
    <w:rsid w:val="00BD7BBE"/>
    <w:rsid w:val="00BE0157"/>
    <w:rsid w:val="00BE246C"/>
    <w:rsid w:val="00BE485F"/>
    <w:rsid w:val="00BE4BFE"/>
    <w:rsid w:val="00BE5F92"/>
    <w:rsid w:val="00BF187C"/>
    <w:rsid w:val="00BF1C58"/>
    <w:rsid w:val="00BF4F6F"/>
    <w:rsid w:val="00C001C5"/>
    <w:rsid w:val="00C05C0C"/>
    <w:rsid w:val="00C06310"/>
    <w:rsid w:val="00C163AA"/>
    <w:rsid w:val="00C172EF"/>
    <w:rsid w:val="00C202B2"/>
    <w:rsid w:val="00C21E2F"/>
    <w:rsid w:val="00C22499"/>
    <w:rsid w:val="00C231B3"/>
    <w:rsid w:val="00C23964"/>
    <w:rsid w:val="00C2728F"/>
    <w:rsid w:val="00C30000"/>
    <w:rsid w:val="00C316B9"/>
    <w:rsid w:val="00C35525"/>
    <w:rsid w:val="00C36183"/>
    <w:rsid w:val="00C36D10"/>
    <w:rsid w:val="00C375E4"/>
    <w:rsid w:val="00C422E2"/>
    <w:rsid w:val="00C438C1"/>
    <w:rsid w:val="00C43A19"/>
    <w:rsid w:val="00C44D7B"/>
    <w:rsid w:val="00C44EF2"/>
    <w:rsid w:val="00C45F57"/>
    <w:rsid w:val="00C4694B"/>
    <w:rsid w:val="00C46FE6"/>
    <w:rsid w:val="00C4758E"/>
    <w:rsid w:val="00C5012B"/>
    <w:rsid w:val="00C50B06"/>
    <w:rsid w:val="00C52332"/>
    <w:rsid w:val="00C52B7D"/>
    <w:rsid w:val="00C53254"/>
    <w:rsid w:val="00C542CE"/>
    <w:rsid w:val="00C55B10"/>
    <w:rsid w:val="00C56CC3"/>
    <w:rsid w:val="00C579BE"/>
    <w:rsid w:val="00C6142C"/>
    <w:rsid w:val="00C62937"/>
    <w:rsid w:val="00C63ADA"/>
    <w:rsid w:val="00C63B84"/>
    <w:rsid w:val="00C63ED4"/>
    <w:rsid w:val="00C660A9"/>
    <w:rsid w:val="00C6776D"/>
    <w:rsid w:val="00C70E67"/>
    <w:rsid w:val="00C71CBA"/>
    <w:rsid w:val="00C7681C"/>
    <w:rsid w:val="00C76CBF"/>
    <w:rsid w:val="00C770CE"/>
    <w:rsid w:val="00C7764E"/>
    <w:rsid w:val="00C80439"/>
    <w:rsid w:val="00C82550"/>
    <w:rsid w:val="00C82573"/>
    <w:rsid w:val="00C83FEF"/>
    <w:rsid w:val="00C84CBD"/>
    <w:rsid w:val="00C8531D"/>
    <w:rsid w:val="00C866BD"/>
    <w:rsid w:val="00C86D61"/>
    <w:rsid w:val="00C92A7D"/>
    <w:rsid w:val="00C94B05"/>
    <w:rsid w:val="00C95FB6"/>
    <w:rsid w:val="00CA08D8"/>
    <w:rsid w:val="00CA0DD2"/>
    <w:rsid w:val="00CA1DB1"/>
    <w:rsid w:val="00CA5E08"/>
    <w:rsid w:val="00CA7933"/>
    <w:rsid w:val="00CA7A91"/>
    <w:rsid w:val="00CB02A1"/>
    <w:rsid w:val="00CB4DF6"/>
    <w:rsid w:val="00CB78C7"/>
    <w:rsid w:val="00CC274F"/>
    <w:rsid w:val="00CC27A4"/>
    <w:rsid w:val="00CC4C64"/>
    <w:rsid w:val="00CC7FAD"/>
    <w:rsid w:val="00CD7844"/>
    <w:rsid w:val="00CE08D6"/>
    <w:rsid w:val="00CE563F"/>
    <w:rsid w:val="00CE73F3"/>
    <w:rsid w:val="00CF06D8"/>
    <w:rsid w:val="00CF1680"/>
    <w:rsid w:val="00CF4448"/>
    <w:rsid w:val="00CF54B7"/>
    <w:rsid w:val="00CF5971"/>
    <w:rsid w:val="00D0100D"/>
    <w:rsid w:val="00D011F0"/>
    <w:rsid w:val="00D04978"/>
    <w:rsid w:val="00D04B21"/>
    <w:rsid w:val="00D11908"/>
    <w:rsid w:val="00D1210E"/>
    <w:rsid w:val="00D1487D"/>
    <w:rsid w:val="00D14E69"/>
    <w:rsid w:val="00D15C49"/>
    <w:rsid w:val="00D16600"/>
    <w:rsid w:val="00D168F0"/>
    <w:rsid w:val="00D16E0D"/>
    <w:rsid w:val="00D1728D"/>
    <w:rsid w:val="00D1732B"/>
    <w:rsid w:val="00D20539"/>
    <w:rsid w:val="00D20EC0"/>
    <w:rsid w:val="00D21098"/>
    <w:rsid w:val="00D22082"/>
    <w:rsid w:val="00D253F1"/>
    <w:rsid w:val="00D2575C"/>
    <w:rsid w:val="00D25B91"/>
    <w:rsid w:val="00D26EEE"/>
    <w:rsid w:val="00D30021"/>
    <w:rsid w:val="00D30138"/>
    <w:rsid w:val="00D30141"/>
    <w:rsid w:val="00D34C17"/>
    <w:rsid w:val="00D35E40"/>
    <w:rsid w:val="00D44C60"/>
    <w:rsid w:val="00D515BB"/>
    <w:rsid w:val="00D54C12"/>
    <w:rsid w:val="00D554EE"/>
    <w:rsid w:val="00D5683E"/>
    <w:rsid w:val="00D63E25"/>
    <w:rsid w:val="00D6583C"/>
    <w:rsid w:val="00D66231"/>
    <w:rsid w:val="00D675B7"/>
    <w:rsid w:val="00D67B31"/>
    <w:rsid w:val="00D722A5"/>
    <w:rsid w:val="00D7242A"/>
    <w:rsid w:val="00D7244F"/>
    <w:rsid w:val="00D77BFB"/>
    <w:rsid w:val="00D816AB"/>
    <w:rsid w:val="00D8373B"/>
    <w:rsid w:val="00D84457"/>
    <w:rsid w:val="00D84B54"/>
    <w:rsid w:val="00D85154"/>
    <w:rsid w:val="00D85723"/>
    <w:rsid w:val="00D8595F"/>
    <w:rsid w:val="00D87F35"/>
    <w:rsid w:val="00D935E9"/>
    <w:rsid w:val="00D94527"/>
    <w:rsid w:val="00DA089E"/>
    <w:rsid w:val="00DA1F6F"/>
    <w:rsid w:val="00DA2802"/>
    <w:rsid w:val="00DA3A15"/>
    <w:rsid w:val="00DA4013"/>
    <w:rsid w:val="00DA4593"/>
    <w:rsid w:val="00DA51EE"/>
    <w:rsid w:val="00DA52BF"/>
    <w:rsid w:val="00DB0D5C"/>
    <w:rsid w:val="00DB1C0A"/>
    <w:rsid w:val="00DB35D8"/>
    <w:rsid w:val="00DB37D6"/>
    <w:rsid w:val="00DB4D08"/>
    <w:rsid w:val="00DB4F5B"/>
    <w:rsid w:val="00DB5DC0"/>
    <w:rsid w:val="00DB6A77"/>
    <w:rsid w:val="00DB6E2B"/>
    <w:rsid w:val="00DB7055"/>
    <w:rsid w:val="00DB7662"/>
    <w:rsid w:val="00DC1D6C"/>
    <w:rsid w:val="00DC34E0"/>
    <w:rsid w:val="00DC3662"/>
    <w:rsid w:val="00DC4108"/>
    <w:rsid w:val="00DC6C60"/>
    <w:rsid w:val="00DD0C66"/>
    <w:rsid w:val="00DD2716"/>
    <w:rsid w:val="00DD2E63"/>
    <w:rsid w:val="00DD486C"/>
    <w:rsid w:val="00DD4972"/>
    <w:rsid w:val="00DD61FD"/>
    <w:rsid w:val="00DE0773"/>
    <w:rsid w:val="00DE2ABD"/>
    <w:rsid w:val="00DE3990"/>
    <w:rsid w:val="00DE74B0"/>
    <w:rsid w:val="00DF1283"/>
    <w:rsid w:val="00DF27B9"/>
    <w:rsid w:val="00DF52DB"/>
    <w:rsid w:val="00DF55C8"/>
    <w:rsid w:val="00E0078D"/>
    <w:rsid w:val="00E0149B"/>
    <w:rsid w:val="00E0180E"/>
    <w:rsid w:val="00E03739"/>
    <w:rsid w:val="00E03969"/>
    <w:rsid w:val="00E03E4A"/>
    <w:rsid w:val="00E04E32"/>
    <w:rsid w:val="00E05E03"/>
    <w:rsid w:val="00E1109B"/>
    <w:rsid w:val="00E133FF"/>
    <w:rsid w:val="00E14103"/>
    <w:rsid w:val="00E15BA0"/>
    <w:rsid w:val="00E16404"/>
    <w:rsid w:val="00E22128"/>
    <w:rsid w:val="00E24054"/>
    <w:rsid w:val="00E250F7"/>
    <w:rsid w:val="00E264C9"/>
    <w:rsid w:val="00E34104"/>
    <w:rsid w:val="00E36230"/>
    <w:rsid w:val="00E378C2"/>
    <w:rsid w:val="00E41874"/>
    <w:rsid w:val="00E443A7"/>
    <w:rsid w:val="00E46E86"/>
    <w:rsid w:val="00E476F4"/>
    <w:rsid w:val="00E479EA"/>
    <w:rsid w:val="00E50620"/>
    <w:rsid w:val="00E5496A"/>
    <w:rsid w:val="00E549CF"/>
    <w:rsid w:val="00E5513F"/>
    <w:rsid w:val="00E60E94"/>
    <w:rsid w:val="00E65E05"/>
    <w:rsid w:val="00E66711"/>
    <w:rsid w:val="00E678CE"/>
    <w:rsid w:val="00E714F8"/>
    <w:rsid w:val="00E72007"/>
    <w:rsid w:val="00E72624"/>
    <w:rsid w:val="00E8024C"/>
    <w:rsid w:val="00E80266"/>
    <w:rsid w:val="00E81052"/>
    <w:rsid w:val="00E81492"/>
    <w:rsid w:val="00E85B10"/>
    <w:rsid w:val="00E86726"/>
    <w:rsid w:val="00E90713"/>
    <w:rsid w:val="00E90D69"/>
    <w:rsid w:val="00E90E9D"/>
    <w:rsid w:val="00E912CD"/>
    <w:rsid w:val="00E92526"/>
    <w:rsid w:val="00E93D51"/>
    <w:rsid w:val="00E96033"/>
    <w:rsid w:val="00EA1359"/>
    <w:rsid w:val="00EA3207"/>
    <w:rsid w:val="00EA7365"/>
    <w:rsid w:val="00EA7EEB"/>
    <w:rsid w:val="00EB18B0"/>
    <w:rsid w:val="00EB4243"/>
    <w:rsid w:val="00EB674D"/>
    <w:rsid w:val="00EC07DB"/>
    <w:rsid w:val="00EC1925"/>
    <w:rsid w:val="00EC469B"/>
    <w:rsid w:val="00EC5EF0"/>
    <w:rsid w:val="00ED1043"/>
    <w:rsid w:val="00ED2460"/>
    <w:rsid w:val="00ED267D"/>
    <w:rsid w:val="00ED529C"/>
    <w:rsid w:val="00ED5ACB"/>
    <w:rsid w:val="00EE035D"/>
    <w:rsid w:val="00EE2A9A"/>
    <w:rsid w:val="00EE3014"/>
    <w:rsid w:val="00EE3E1D"/>
    <w:rsid w:val="00EE3E89"/>
    <w:rsid w:val="00EE73B4"/>
    <w:rsid w:val="00EE7435"/>
    <w:rsid w:val="00EE7E7D"/>
    <w:rsid w:val="00EF08A6"/>
    <w:rsid w:val="00EF15F1"/>
    <w:rsid w:val="00EF2FF2"/>
    <w:rsid w:val="00EF3A69"/>
    <w:rsid w:val="00EF44A9"/>
    <w:rsid w:val="00EF45A6"/>
    <w:rsid w:val="00EF679A"/>
    <w:rsid w:val="00F002E5"/>
    <w:rsid w:val="00F00839"/>
    <w:rsid w:val="00F03896"/>
    <w:rsid w:val="00F054A1"/>
    <w:rsid w:val="00F10FF5"/>
    <w:rsid w:val="00F1297C"/>
    <w:rsid w:val="00F129FD"/>
    <w:rsid w:val="00F134A7"/>
    <w:rsid w:val="00F14A21"/>
    <w:rsid w:val="00F154FB"/>
    <w:rsid w:val="00F15568"/>
    <w:rsid w:val="00F214D2"/>
    <w:rsid w:val="00F215E1"/>
    <w:rsid w:val="00F224B9"/>
    <w:rsid w:val="00F23618"/>
    <w:rsid w:val="00F24F3F"/>
    <w:rsid w:val="00F269EE"/>
    <w:rsid w:val="00F2704C"/>
    <w:rsid w:val="00F273E5"/>
    <w:rsid w:val="00F31AA2"/>
    <w:rsid w:val="00F32925"/>
    <w:rsid w:val="00F32F21"/>
    <w:rsid w:val="00F36D77"/>
    <w:rsid w:val="00F37A82"/>
    <w:rsid w:val="00F40281"/>
    <w:rsid w:val="00F4220E"/>
    <w:rsid w:val="00F43F8E"/>
    <w:rsid w:val="00F45BB4"/>
    <w:rsid w:val="00F47DC5"/>
    <w:rsid w:val="00F50513"/>
    <w:rsid w:val="00F50844"/>
    <w:rsid w:val="00F5122B"/>
    <w:rsid w:val="00F523AC"/>
    <w:rsid w:val="00F54AD1"/>
    <w:rsid w:val="00F563BA"/>
    <w:rsid w:val="00F6027A"/>
    <w:rsid w:val="00F60B90"/>
    <w:rsid w:val="00F60FDD"/>
    <w:rsid w:val="00F6535F"/>
    <w:rsid w:val="00F670CF"/>
    <w:rsid w:val="00F67BED"/>
    <w:rsid w:val="00F73E7E"/>
    <w:rsid w:val="00F77366"/>
    <w:rsid w:val="00F81753"/>
    <w:rsid w:val="00F85FCF"/>
    <w:rsid w:val="00F86F1E"/>
    <w:rsid w:val="00F924AA"/>
    <w:rsid w:val="00F92C2D"/>
    <w:rsid w:val="00F94404"/>
    <w:rsid w:val="00F96EB3"/>
    <w:rsid w:val="00FA05A3"/>
    <w:rsid w:val="00FA2DA2"/>
    <w:rsid w:val="00FA37C5"/>
    <w:rsid w:val="00FA4117"/>
    <w:rsid w:val="00FA628F"/>
    <w:rsid w:val="00FB4D60"/>
    <w:rsid w:val="00FB513B"/>
    <w:rsid w:val="00FC2396"/>
    <w:rsid w:val="00FC28CC"/>
    <w:rsid w:val="00FC3F11"/>
    <w:rsid w:val="00FC55AD"/>
    <w:rsid w:val="00FC681A"/>
    <w:rsid w:val="00FD11CA"/>
    <w:rsid w:val="00FD2B15"/>
    <w:rsid w:val="00FD2EFF"/>
    <w:rsid w:val="00FD46E9"/>
    <w:rsid w:val="00FD6ECC"/>
    <w:rsid w:val="00FE046D"/>
    <w:rsid w:val="00FF0135"/>
    <w:rsid w:val="00FF1392"/>
    <w:rsid w:val="00FF2CA7"/>
    <w:rsid w:val="00FF5195"/>
    <w:rsid w:val="00FF55C6"/>
    <w:rsid w:val="01655E65"/>
    <w:rsid w:val="0CA5554C"/>
    <w:rsid w:val="0DF540CC"/>
    <w:rsid w:val="112C3C2D"/>
    <w:rsid w:val="1131366D"/>
    <w:rsid w:val="16DF5419"/>
    <w:rsid w:val="16FB6BF7"/>
    <w:rsid w:val="17591B70"/>
    <w:rsid w:val="17E92EF4"/>
    <w:rsid w:val="1A267DF0"/>
    <w:rsid w:val="1E302101"/>
    <w:rsid w:val="1F566F76"/>
    <w:rsid w:val="20DA5ACF"/>
    <w:rsid w:val="21BE795F"/>
    <w:rsid w:val="25F34DFB"/>
    <w:rsid w:val="27B626C7"/>
    <w:rsid w:val="29F62D17"/>
    <w:rsid w:val="2A904901"/>
    <w:rsid w:val="2B404388"/>
    <w:rsid w:val="2E2C723F"/>
    <w:rsid w:val="30550CCF"/>
    <w:rsid w:val="308B22B5"/>
    <w:rsid w:val="31D56941"/>
    <w:rsid w:val="374E3ECF"/>
    <w:rsid w:val="3B181276"/>
    <w:rsid w:val="3B702E61"/>
    <w:rsid w:val="3C9C35B9"/>
    <w:rsid w:val="3D0575D8"/>
    <w:rsid w:val="3DE9514C"/>
    <w:rsid w:val="3E530817"/>
    <w:rsid w:val="3EBB705C"/>
    <w:rsid w:val="41AF15C1"/>
    <w:rsid w:val="43030A5E"/>
    <w:rsid w:val="46B5206F"/>
    <w:rsid w:val="489108BA"/>
    <w:rsid w:val="49A40179"/>
    <w:rsid w:val="49D83A04"/>
    <w:rsid w:val="4B306168"/>
    <w:rsid w:val="4B7A6B4C"/>
    <w:rsid w:val="4C5509A6"/>
    <w:rsid w:val="4D043409"/>
    <w:rsid w:val="4D095A12"/>
    <w:rsid w:val="4D1753CC"/>
    <w:rsid w:val="4F7F76BE"/>
    <w:rsid w:val="4FAF75AB"/>
    <w:rsid w:val="50B82E88"/>
    <w:rsid w:val="516923D4"/>
    <w:rsid w:val="55EC7C91"/>
    <w:rsid w:val="5A4D7FA6"/>
    <w:rsid w:val="5A956D79"/>
    <w:rsid w:val="5C5F68AD"/>
    <w:rsid w:val="5C6D6212"/>
    <w:rsid w:val="5DDD2180"/>
    <w:rsid w:val="5E1611EE"/>
    <w:rsid w:val="600D4872"/>
    <w:rsid w:val="62B17737"/>
    <w:rsid w:val="62D41677"/>
    <w:rsid w:val="65C21C5B"/>
    <w:rsid w:val="6A3273AF"/>
    <w:rsid w:val="6B3C1098"/>
    <w:rsid w:val="6C6F71B5"/>
    <w:rsid w:val="6D9D44C8"/>
    <w:rsid w:val="6FB11C40"/>
    <w:rsid w:val="78484242"/>
    <w:rsid w:val="7AC758F2"/>
    <w:rsid w:val="7AEC0C8C"/>
    <w:rsid w:val="7F6F65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4C8BD0FA"/>
  <w15:docId w15:val="{F321F3C8-0D84-4F2C-9ABA-756605E3EC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9" w:unhideWhenUsed="1" w:qFormat="1"/>
    <w:lsdException w:name="heading 3" w:uiPriority="9" w:unhideWhenUsed="1" w:qFormat="1"/>
    <w:lsdException w:name="heading 4" w:uiPriority="9"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uiPriority="39" w:unhideWhenUsed="1" w:qFormat="1"/>
    <w:lsdException w:name="toc 9" w:uiPriority="39" w:unhideWhenUsed="1" w:qFormat="1"/>
    <w:lsdException w:name="Normal Indent" w:semiHidden="1" w:unhideWhenUsed="1"/>
    <w:lsdException w:name="footnote text" w:semiHidden="1" w:unhideWhenUsed="1" w:qFormat="1"/>
    <w:lsdException w:name="annotation text" w:unhideWhenUsed="1" w:qFormat="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1"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4220E"/>
    <w:pPr>
      <w:widowControl w:val="0"/>
      <w:ind w:firstLineChars="200" w:firstLine="200"/>
      <w:jc w:val="both"/>
    </w:pPr>
    <w:rPr>
      <w:rFonts w:eastAsia="Times New Roman"/>
      <w:kern w:val="2"/>
      <w:sz w:val="21"/>
      <w:szCs w:val="21"/>
      <w:lang w:val="en-US" w:eastAsia="zh-CN"/>
    </w:rPr>
  </w:style>
  <w:style w:type="paragraph" w:styleId="1">
    <w:name w:val="heading 1"/>
    <w:basedOn w:val="a"/>
    <w:next w:val="a"/>
    <w:link w:val="10"/>
    <w:uiPriority w:val="1"/>
    <w:qFormat/>
    <w:pPr>
      <w:autoSpaceDE w:val="0"/>
      <w:autoSpaceDN w:val="0"/>
      <w:adjustRightInd w:val="0"/>
      <w:snapToGrid w:val="0"/>
      <w:spacing w:before="240" w:after="240"/>
      <w:ind w:firstLineChars="0" w:firstLine="0"/>
      <w:jc w:val="left"/>
      <w:outlineLvl w:val="0"/>
    </w:pPr>
    <w:rPr>
      <w:rFonts w:eastAsiaTheme="minorEastAsia" w:cs="Book Antiqua"/>
      <w:b/>
      <w:bCs/>
      <w:kern w:val="0"/>
      <w:sz w:val="24"/>
      <w:szCs w:val="20"/>
    </w:rPr>
  </w:style>
  <w:style w:type="paragraph" w:styleId="2">
    <w:name w:val="heading 2"/>
    <w:basedOn w:val="a"/>
    <w:next w:val="a"/>
    <w:link w:val="20"/>
    <w:uiPriority w:val="9"/>
    <w:unhideWhenUsed/>
    <w:qFormat/>
    <w:pPr>
      <w:keepNext/>
      <w:keepLines/>
      <w:adjustRightInd w:val="0"/>
      <w:snapToGrid w:val="0"/>
      <w:spacing w:before="240" w:after="240"/>
      <w:ind w:firstLineChars="0" w:firstLine="0"/>
      <w:outlineLvl w:val="1"/>
    </w:pPr>
    <w:rPr>
      <w:rFonts w:eastAsiaTheme="minorEastAsia"/>
      <w:bCs/>
      <w:i/>
    </w:rPr>
  </w:style>
  <w:style w:type="paragraph" w:styleId="3">
    <w:name w:val="heading 3"/>
    <w:basedOn w:val="a"/>
    <w:next w:val="a"/>
    <w:link w:val="30"/>
    <w:uiPriority w:val="9"/>
    <w:unhideWhenUsed/>
    <w:qFormat/>
    <w:pPr>
      <w:keepNext/>
      <w:keepLines/>
      <w:adjustRightInd w:val="0"/>
      <w:snapToGrid w:val="0"/>
      <w:spacing w:before="240" w:after="240" w:line="288" w:lineRule="auto"/>
      <w:ind w:firstLineChars="0" w:firstLine="0"/>
      <w:outlineLvl w:val="2"/>
    </w:pPr>
    <w:rPr>
      <w:rFonts w:eastAsiaTheme="minorEastAsia"/>
      <w:bCs/>
      <w:szCs w:val="32"/>
    </w:rPr>
  </w:style>
  <w:style w:type="paragraph" w:styleId="4">
    <w:name w:val="heading 4"/>
    <w:basedOn w:val="3"/>
    <w:next w:val="a"/>
    <w:link w:val="40"/>
    <w:uiPriority w:val="9"/>
    <w:qFormat/>
    <w:pPr>
      <w:outlineLvl w:val="3"/>
    </w:pPr>
    <w:rPr>
      <w:rFonts w:eastAsia="NimbusRomNo9L" w:cs="NimbusRomNo9L"/>
      <w:bCs w:val="0"/>
      <w:kern w:val="0"/>
      <w:szCs w:val="28"/>
      <w:u w:val="single"/>
    </w:rPr>
  </w:style>
  <w:style w:type="paragraph" w:styleId="5">
    <w:name w:val="heading 5"/>
    <w:basedOn w:val="a"/>
    <w:next w:val="a"/>
    <w:link w:val="50"/>
    <w:uiPriority w:val="9"/>
    <w:unhideWhenUsed/>
    <w:qFormat/>
    <w:pPr>
      <w:keepNext/>
      <w:keepLines/>
      <w:spacing w:before="280" w:after="290" w:line="376" w:lineRule="auto"/>
      <w:outlineLvl w:val="4"/>
    </w:pPr>
    <w:rPr>
      <w:b/>
      <w:bCs/>
      <w:sz w:val="28"/>
      <w:szCs w:val="28"/>
    </w:rPr>
  </w:style>
  <w:style w:type="paragraph" w:styleId="6">
    <w:name w:val="heading 6"/>
    <w:basedOn w:val="a"/>
    <w:next w:val="a"/>
    <w:link w:val="60"/>
    <w:uiPriority w:val="9"/>
    <w:unhideWhenUsed/>
    <w:qFormat/>
    <w:pPr>
      <w:keepNext/>
      <w:keepLines/>
      <w:numPr>
        <w:ilvl w:val="5"/>
        <w:numId w:val="1"/>
      </w:numPr>
      <w:spacing w:before="240" w:after="64" w:line="320" w:lineRule="auto"/>
      <w:ind w:firstLineChars="0" w:firstLine="0"/>
      <w:outlineLvl w:val="5"/>
    </w:pPr>
    <w:rPr>
      <w:rFonts w:ascii="等线 Light" w:eastAsia="等线 Light" w:hAnsi="等线 Light"/>
      <w:b/>
      <w:bCs/>
      <w:sz w:val="24"/>
      <w:szCs w:val="24"/>
    </w:rPr>
  </w:style>
  <w:style w:type="paragraph" w:styleId="7">
    <w:name w:val="heading 7"/>
    <w:basedOn w:val="a"/>
    <w:next w:val="a"/>
    <w:link w:val="70"/>
    <w:uiPriority w:val="9"/>
    <w:unhideWhenUsed/>
    <w:qFormat/>
    <w:pPr>
      <w:keepNext/>
      <w:keepLines/>
      <w:numPr>
        <w:ilvl w:val="6"/>
        <w:numId w:val="1"/>
      </w:numPr>
      <w:spacing w:before="240" w:after="64" w:line="320" w:lineRule="auto"/>
      <w:ind w:firstLineChars="0" w:firstLine="0"/>
      <w:outlineLvl w:val="6"/>
    </w:pPr>
    <w:rPr>
      <w:b/>
      <w:bCs/>
      <w:sz w:val="24"/>
      <w:szCs w:val="24"/>
    </w:rPr>
  </w:style>
  <w:style w:type="paragraph" w:styleId="8">
    <w:name w:val="heading 8"/>
    <w:basedOn w:val="a"/>
    <w:next w:val="a"/>
    <w:link w:val="80"/>
    <w:uiPriority w:val="9"/>
    <w:unhideWhenUsed/>
    <w:qFormat/>
    <w:pPr>
      <w:keepNext/>
      <w:keepLines/>
      <w:numPr>
        <w:ilvl w:val="7"/>
        <w:numId w:val="1"/>
      </w:numPr>
      <w:spacing w:before="240" w:after="64" w:line="320" w:lineRule="auto"/>
      <w:ind w:firstLineChars="0" w:firstLine="0"/>
      <w:outlineLvl w:val="7"/>
    </w:pPr>
    <w:rPr>
      <w:rFonts w:ascii="等线 Light" w:eastAsia="等线 Light" w:hAnsi="等线 Light"/>
      <w:sz w:val="24"/>
      <w:szCs w:val="24"/>
    </w:rPr>
  </w:style>
  <w:style w:type="paragraph" w:styleId="9">
    <w:name w:val="heading 9"/>
    <w:basedOn w:val="a"/>
    <w:next w:val="a"/>
    <w:link w:val="90"/>
    <w:uiPriority w:val="9"/>
    <w:semiHidden/>
    <w:unhideWhenUsed/>
    <w:qFormat/>
    <w:pPr>
      <w:keepNext/>
      <w:keepLines/>
      <w:numPr>
        <w:ilvl w:val="8"/>
        <w:numId w:val="1"/>
      </w:numPr>
      <w:spacing w:before="240" w:after="64" w:line="320" w:lineRule="auto"/>
      <w:ind w:firstLineChars="0" w:firstLine="0"/>
      <w:outlineLvl w:val="8"/>
    </w:pPr>
    <w:rPr>
      <w:rFonts w:ascii="等线 Light" w:eastAsia="等线 Light" w:hAnsi="等线 Light"/>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autoRedefine/>
    <w:uiPriority w:val="39"/>
    <w:unhideWhenUsed/>
    <w:qFormat/>
    <w:pPr>
      <w:widowControl/>
      <w:spacing w:after="100" w:line="278" w:lineRule="auto"/>
      <w:ind w:left="1440" w:firstLineChars="0" w:firstLine="0"/>
      <w:jc w:val="left"/>
    </w:pPr>
    <w:rPr>
      <w:rFonts w:asciiTheme="minorHAnsi" w:eastAsiaTheme="minorEastAsia" w:hAnsiTheme="minorHAnsi" w:cstheme="minorBidi"/>
      <w:sz w:val="24"/>
      <w:szCs w:val="24"/>
      <w:lang w:val="en-GB" w:eastAsia="en-GB"/>
      <w14:ligatures w14:val="standardContextual"/>
    </w:rPr>
  </w:style>
  <w:style w:type="paragraph" w:styleId="a3">
    <w:name w:val="caption"/>
    <w:basedOn w:val="a"/>
    <w:next w:val="a"/>
    <w:uiPriority w:val="35"/>
    <w:unhideWhenUsed/>
    <w:qFormat/>
    <w:pPr>
      <w:ind w:firstLineChars="0" w:firstLine="0"/>
    </w:pPr>
  </w:style>
  <w:style w:type="paragraph" w:styleId="a4">
    <w:name w:val="annotation text"/>
    <w:basedOn w:val="a"/>
    <w:link w:val="a5"/>
    <w:uiPriority w:val="99"/>
    <w:unhideWhenUsed/>
    <w:qFormat/>
    <w:pPr>
      <w:jc w:val="left"/>
    </w:pPr>
  </w:style>
  <w:style w:type="paragraph" w:styleId="a6">
    <w:name w:val="Body Text"/>
    <w:basedOn w:val="a"/>
    <w:link w:val="a7"/>
    <w:uiPriority w:val="1"/>
    <w:qFormat/>
    <w:pPr>
      <w:autoSpaceDE w:val="0"/>
      <w:autoSpaceDN w:val="0"/>
      <w:adjustRightInd w:val="0"/>
      <w:ind w:firstLine="420"/>
    </w:pPr>
    <w:rPr>
      <w:kern w:val="0"/>
    </w:rPr>
  </w:style>
  <w:style w:type="paragraph" w:styleId="TOC5">
    <w:name w:val="toc 5"/>
    <w:basedOn w:val="a"/>
    <w:next w:val="a"/>
    <w:autoRedefine/>
    <w:uiPriority w:val="39"/>
    <w:unhideWhenUsed/>
    <w:qFormat/>
    <w:pPr>
      <w:widowControl/>
      <w:spacing w:after="100" w:line="278" w:lineRule="auto"/>
      <w:ind w:left="960" w:firstLineChars="0" w:firstLine="0"/>
      <w:jc w:val="left"/>
    </w:pPr>
    <w:rPr>
      <w:rFonts w:asciiTheme="minorHAnsi" w:eastAsiaTheme="minorEastAsia" w:hAnsiTheme="minorHAnsi" w:cstheme="minorBidi"/>
      <w:sz w:val="24"/>
      <w:szCs w:val="24"/>
      <w:lang w:val="en-GB" w:eastAsia="en-GB"/>
      <w14:ligatures w14:val="standardContextual"/>
    </w:rPr>
  </w:style>
  <w:style w:type="paragraph" w:styleId="TOC3">
    <w:name w:val="toc 3"/>
    <w:basedOn w:val="a"/>
    <w:next w:val="a"/>
    <w:autoRedefine/>
    <w:uiPriority w:val="39"/>
    <w:unhideWhenUsed/>
    <w:qFormat/>
    <w:pPr>
      <w:spacing w:after="100"/>
      <w:ind w:left="420"/>
    </w:pPr>
  </w:style>
  <w:style w:type="paragraph" w:styleId="TOC8">
    <w:name w:val="toc 8"/>
    <w:basedOn w:val="a"/>
    <w:next w:val="a"/>
    <w:autoRedefine/>
    <w:uiPriority w:val="39"/>
    <w:unhideWhenUsed/>
    <w:qFormat/>
    <w:pPr>
      <w:widowControl/>
      <w:spacing w:after="100" w:line="278" w:lineRule="auto"/>
      <w:ind w:left="1680" w:firstLineChars="0" w:firstLine="0"/>
      <w:jc w:val="left"/>
    </w:pPr>
    <w:rPr>
      <w:rFonts w:asciiTheme="minorHAnsi" w:eastAsiaTheme="minorEastAsia" w:hAnsiTheme="minorHAnsi" w:cstheme="minorBidi"/>
      <w:sz w:val="24"/>
      <w:szCs w:val="24"/>
      <w:lang w:val="en-GB" w:eastAsia="en-GB"/>
      <w14:ligatures w14:val="standardContextual"/>
    </w:r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unhideWhenUsed/>
    <w:qFormat/>
    <w:pPr>
      <w:tabs>
        <w:tab w:val="center" w:pos="4153"/>
        <w:tab w:val="right" w:pos="8306"/>
      </w:tabs>
      <w:snapToGrid w:val="0"/>
      <w:spacing w:before="240" w:after="240"/>
      <w:jc w:val="left"/>
    </w:pPr>
    <w:rPr>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adjustRightInd w:val="0"/>
      <w:snapToGrid w:val="0"/>
      <w:jc w:val="center"/>
    </w:pPr>
    <w:rPr>
      <w:sz w:val="18"/>
      <w:szCs w:val="18"/>
    </w:rPr>
  </w:style>
  <w:style w:type="paragraph" w:styleId="TOC1">
    <w:name w:val="toc 1"/>
    <w:basedOn w:val="a"/>
    <w:next w:val="a"/>
    <w:autoRedefine/>
    <w:uiPriority w:val="39"/>
    <w:unhideWhenUsed/>
    <w:qFormat/>
    <w:pPr>
      <w:spacing w:after="100"/>
    </w:pPr>
  </w:style>
  <w:style w:type="paragraph" w:styleId="TOC4">
    <w:name w:val="toc 4"/>
    <w:basedOn w:val="a"/>
    <w:next w:val="a"/>
    <w:autoRedefine/>
    <w:uiPriority w:val="39"/>
    <w:unhideWhenUsed/>
    <w:qFormat/>
    <w:pPr>
      <w:widowControl/>
      <w:spacing w:after="100" w:line="278" w:lineRule="auto"/>
      <w:ind w:left="720" w:firstLineChars="0" w:firstLine="0"/>
      <w:jc w:val="left"/>
    </w:pPr>
    <w:rPr>
      <w:rFonts w:asciiTheme="minorHAnsi" w:eastAsiaTheme="minorEastAsia" w:hAnsiTheme="minorHAnsi" w:cstheme="minorBidi"/>
      <w:sz w:val="24"/>
      <w:szCs w:val="24"/>
      <w:lang w:val="en-GB" w:eastAsia="en-GB"/>
      <w14:ligatures w14:val="standardContextual"/>
    </w:rPr>
  </w:style>
  <w:style w:type="paragraph" w:styleId="ae">
    <w:name w:val="footnote text"/>
    <w:basedOn w:val="a"/>
    <w:link w:val="af"/>
    <w:uiPriority w:val="99"/>
    <w:semiHidden/>
    <w:unhideWhenUsed/>
    <w:qFormat/>
    <w:rPr>
      <w:sz w:val="20"/>
      <w:szCs w:val="20"/>
    </w:rPr>
  </w:style>
  <w:style w:type="paragraph" w:styleId="TOC6">
    <w:name w:val="toc 6"/>
    <w:basedOn w:val="a"/>
    <w:next w:val="a"/>
    <w:autoRedefine/>
    <w:uiPriority w:val="39"/>
    <w:unhideWhenUsed/>
    <w:qFormat/>
    <w:pPr>
      <w:widowControl/>
      <w:spacing w:after="100" w:line="278" w:lineRule="auto"/>
      <w:ind w:left="1200" w:firstLineChars="0" w:firstLine="0"/>
      <w:jc w:val="left"/>
    </w:pPr>
    <w:rPr>
      <w:rFonts w:asciiTheme="minorHAnsi" w:eastAsiaTheme="minorEastAsia" w:hAnsiTheme="minorHAnsi" w:cstheme="minorBidi"/>
      <w:sz w:val="24"/>
      <w:szCs w:val="24"/>
      <w:lang w:val="en-GB" w:eastAsia="en-GB"/>
      <w14:ligatures w14:val="standardContextual"/>
    </w:rPr>
  </w:style>
  <w:style w:type="paragraph" w:styleId="TOC2">
    <w:name w:val="toc 2"/>
    <w:basedOn w:val="a"/>
    <w:next w:val="a"/>
    <w:autoRedefine/>
    <w:uiPriority w:val="39"/>
    <w:unhideWhenUsed/>
    <w:qFormat/>
    <w:pPr>
      <w:spacing w:after="100"/>
      <w:ind w:left="210"/>
    </w:pPr>
  </w:style>
  <w:style w:type="paragraph" w:styleId="TOC9">
    <w:name w:val="toc 9"/>
    <w:basedOn w:val="a"/>
    <w:next w:val="a"/>
    <w:autoRedefine/>
    <w:uiPriority w:val="39"/>
    <w:unhideWhenUsed/>
    <w:qFormat/>
    <w:pPr>
      <w:widowControl/>
      <w:spacing w:after="100" w:line="278" w:lineRule="auto"/>
      <w:ind w:left="1920" w:firstLineChars="0" w:firstLine="0"/>
      <w:jc w:val="left"/>
    </w:pPr>
    <w:rPr>
      <w:rFonts w:asciiTheme="minorHAnsi" w:eastAsiaTheme="minorEastAsia" w:hAnsiTheme="minorHAnsi" w:cstheme="minorBidi"/>
      <w:sz w:val="24"/>
      <w:szCs w:val="24"/>
      <w:lang w:val="en-GB" w:eastAsia="en-GB"/>
      <w14:ligatures w14:val="standardContextual"/>
    </w:rPr>
  </w:style>
  <w:style w:type="paragraph" w:styleId="af0">
    <w:name w:val="Normal (Web)"/>
    <w:basedOn w:val="a"/>
    <w:uiPriority w:val="99"/>
    <w:unhideWhenUsed/>
    <w:qFormat/>
    <w:pPr>
      <w:spacing w:before="100" w:beforeAutospacing="1" w:after="100" w:afterAutospacing="1"/>
    </w:pPr>
    <w:rPr>
      <w:lang w:eastAsia="en-US"/>
    </w:rPr>
  </w:style>
  <w:style w:type="paragraph" w:styleId="af1">
    <w:name w:val="annotation subject"/>
    <w:basedOn w:val="a4"/>
    <w:next w:val="a4"/>
    <w:link w:val="af2"/>
    <w:uiPriority w:val="99"/>
    <w:semiHidden/>
    <w:unhideWhenUsed/>
    <w:qFormat/>
    <w:rPr>
      <w:b/>
      <w:bCs/>
    </w:rPr>
  </w:style>
  <w:style w:type="table" w:styleId="af3">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FollowedHyperlink"/>
    <w:basedOn w:val="a0"/>
    <w:uiPriority w:val="99"/>
    <w:semiHidden/>
    <w:unhideWhenUsed/>
    <w:qFormat/>
    <w:rPr>
      <w:color w:val="800080"/>
      <w:u w:val="single"/>
    </w:rPr>
  </w:style>
  <w:style w:type="character" w:styleId="af5">
    <w:name w:val="Emphasis"/>
    <w:basedOn w:val="a0"/>
    <w:uiPriority w:val="20"/>
    <w:qFormat/>
    <w:rPr>
      <w:i/>
    </w:rPr>
  </w:style>
  <w:style w:type="character" w:styleId="af6">
    <w:name w:val="line number"/>
    <w:uiPriority w:val="99"/>
    <w:semiHidden/>
    <w:unhideWhenUsed/>
    <w:qFormat/>
  </w:style>
  <w:style w:type="character" w:styleId="af7">
    <w:name w:val="Hyperlink"/>
    <w:uiPriority w:val="99"/>
    <w:unhideWhenUsed/>
    <w:qFormat/>
    <w:rPr>
      <w:color w:val="0563C1"/>
      <w:u w:val="single"/>
    </w:rPr>
  </w:style>
  <w:style w:type="character" w:styleId="af8">
    <w:name w:val="annotation reference"/>
    <w:basedOn w:val="a0"/>
    <w:uiPriority w:val="99"/>
    <w:semiHidden/>
    <w:unhideWhenUsed/>
    <w:qFormat/>
    <w:rPr>
      <w:sz w:val="21"/>
      <w:szCs w:val="21"/>
    </w:rPr>
  </w:style>
  <w:style w:type="character" w:styleId="af9">
    <w:name w:val="footnote reference"/>
    <w:basedOn w:val="a0"/>
    <w:uiPriority w:val="99"/>
    <w:semiHidden/>
    <w:unhideWhenUsed/>
    <w:qFormat/>
    <w:rPr>
      <w:vertAlign w:val="superscript"/>
    </w:rPr>
  </w:style>
  <w:style w:type="character" w:customStyle="1" w:styleId="ad">
    <w:name w:val="页眉 字符"/>
    <w:link w:val="ac"/>
    <w:uiPriority w:val="99"/>
    <w:qFormat/>
    <w:rPr>
      <w:rFonts w:ascii="Times New Roman" w:eastAsia="Times New Roman" w:hAnsi="Times New Roman"/>
      <w:kern w:val="2"/>
      <w:sz w:val="18"/>
      <w:szCs w:val="18"/>
    </w:rPr>
  </w:style>
  <w:style w:type="character" w:customStyle="1" w:styleId="ab">
    <w:name w:val="页脚 字符"/>
    <w:link w:val="aa"/>
    <w:uiPriority w:val="99"/>
    <w:qFormat/>
    <w:rPr>
      <w:rFonts w:ascii="Times New Roman" w:eastAsia="Times New Roman" w:hAnsi="Times New Roman"/>
      <w:kern w:val="2"/>
      <w:sz w:val="18"/>
      <w:szCs w:val="18"/>
    </w:rPr>
  </w:style>
  <w:style w:type="character" w:customStyle="1" w:styleId="10">
    <w:name w:val="标题 1 字符"/>
    <w:link w:val="1"/>
    <w:uiPriority w:val="1"/>
    <w:qFormat/>
    <w:rPr>
      <w:rFonts w:ascii="Times New Roman" w:eastAsiaTheme="minorEastAsia" w:hAnsi="Times New Roman" w:cs="Book Antiqua"/>
      <w:b/>
      <w:bCs/>
      <w:sz w:val="24"/>
    </w:rPr>
  </w:style>
  <w:style w:type="character" w:customStyle="1" w:styleId="a7">
    <w:name w:val="正文文本 字符"/>
    <w:link w:val="a6"/>
    <w:uiPriority w:val="1"/>
    <w:qFormat/>
    <w:rPr>
      <w:rFonts w:ascii="Times New Roman" w:eastAsia="Times New Roman" w:hAnsi="Times New Roman"/>
      <w:sz w:val="21"/>
      <w:szCs w:val="21"/>
    </w:rPr>
  </w:style>
  <w:style w:type="paragraph" w:styleId="afa">
    <w:name w:val="List Paragraph"/>
    <w:basedOn w:val="a"/>
    <w:uiPriority w:val="1"/>
    <w:qFormat/>
    <w:pPr>
      <w:autoSpaceDE w:val="0"/>
      <w:autoSpaceDN w:val="0"/>
      <w:adjustRightInd w:val="0"/>
      <w:spacing w:before="3"/>
      <w:ind w:left="561" w:right="126" w:hanging="431"/>
    </w:pPr>
    <w:rPr>
      <w:rFonts w:ascii="Book Antiqua" w:hAnsi="Book Antiqua" w:cs="Book Antiqua"/>
      <w:kern w:val="0"/>
      <w:sz w:val="24"/>
      <w:szCs w:val="24"/>
    </w:rPr>
  </w:style>
  <w:style w:type="paragraph" w:customStyle="1" w:styleId="TableParagraph">
    <w:name w:val="Table Paragraph"/>
    <w:basedOn w:val="a"/>
    <w:uiPriority w:val="1"/>
    <w:qFormat/>
    <w:pPr>
      <w:autoSpaceDE w:val="0"/>
      <w:autoSpaceDN w:val="0"/>
      <w:adjustRightInd w:val="0"/>
      <w:ind w:left="133"/>
      <w:jc w:val="center"/>
    </w:pPr>
    <w:rPr>
      <w:rFonts w:ascii="Book Antiqua" w:hAnsi="Book Antiqua" w:cs="Book Antiqua"/>
      <w:kern w:val="0"/>
      <w:sz w:val="24"/>
      <w:szCs w:val="24"/>
    </w:rPr>
  </w:style>
  <w:style w:type="table" w:customStyle="1" w:styleId="5-11">
    <w:name w:val="网格表 5 深色 - 着色 11"/>
    <w:basedOn w:val="a1"/>
    <w:uiPriority w:val="50"/>
    <w:qFormat/>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5-111">
    <w:name w:val="网格表 5 深色 - 着色 111"/>
    <w:basedOn w:val="a1"/>
    <w:uiPriority w:val="50"/>
    <w:qFormat/>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5-112">
    <w:name w:val="网格表 5 深色 - 着色 112"/>
    <w:basedOn w:val="a1"/>
    <w:uiPriority w:val="50"/>
    <w:qFormat/>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character" w:customStyle="1" w:styleId="20">
    <w:name w:val="标题 2 字符"/>
    <w:link w:val="2"/>
    <w:uiPriority w:val="9"/>
    <w:qFormat/>
    <w:rPr>
      <w:rFonts w:ascii="Times New Roman" w:eastAsiaTheme="minorEastAsia" w:hAnsi="Times New Roman"/>
      <w:bCs/>
      <w:i/>
      <w:kern w:val="2"/>
      <w:sz w:val="21"/>
      <w:szCs w:val="21"/>
    </w:rPr>
  </w:style>
  <w:style w:type="character" w:customStyle="1" w:styleId="a9">
    <w:name w:val="批注框文本 字符"/>
    <w:basedOn w:val="a0"/>
    <w:link w:val="a8"/>
    <w:uiPriority w:val="99"/>
    <w:semiHidden/>
    <w:qFormat/>
    <w:rPr>
      <w:rFonts w:ascii="Times New Roman" w:eastAsia="Times New Roman" w:hAnsi="Times New Roman"/>
      <w:kern w:val="2"/>
      <w:sz w:val="18"/>
      <w:szCs w:val="18"/>
    </w:rPr>
  </w:style>
  <w:style w:type="paragraph" w:customStyle="1" w:styleId="EndNoteBibliographyTitle">
    <w:name w:val="EndNote Bibliography Title"/>
    <w:basedOn w:val="a"/>
    <w:link w:val="EndNoteBibliographyTitle0"/>
    <w:qFormat/>
    <w:pPr>
      <w:jc w:val="center"/>
    </w:pPr>
    <w:rPr>
      <w:rFonts w:ascii="等线" w:eastAsia="等线" w:hAnsi="等线"/>
      <w:sz w:val="20"/>
    </w:rPr>
  </w:style>
  <w:style w:type="character" w:customStyle="1" w:styleId="EndNoteBibliographyTitle0">
    <w:name w:val="EndNote Bibliography Title 字符"/>
    <w:basedOn w:val="a0"/>
    <w:link w:val="EndNoteBibliographyTitle"/>
    <w:qFormat/>
    <w:rPr>
      <w:rFonts w:ascii="等线" w:eastAsia="等线" w:hAnsi="等线"/>
      <w:kern w:val="2"/>
      <w:szCs w:val="21"/>
      <w:lang w:val="en-US" w:eastAsia="zh-CN"/>
    </w:rPr>
  </w:style>
  <w:style w:type="paragraph" w:customStyle="1" w:styleId="EndNoteBibliography">
    <w:name w:val="EndNote Bibliography"/>
    <w:basedOn w:val="a"/>
    <w:link w:val="EndNoteBibliography0"/>
    <w:qFormat/>
    <w:rPr>
      <w:rFonts w:ascii="等线" w:eastAsia="等线" w:hAnsi="等线"/>
      <w:sz w:val="20"/>
    </w:rPr>
  </w:style>
  <w:style w:type="character" w:customStyle="1" w:styleId="EndNoteBibliography0">
    <w:name w:val="EndNote Bibliography 字符"/>
    <w:basedOn w:val="a0"/>
    <w:link w:val="EndNoteBibliography"/>
    <w:qFormat/>
    <w:rPr>
      <w:rFonts w:ascii="等线" w:eastAsia="等线" w:hAnsi="等线"/>
      <w:kern w:val="2"/>
      <w:szCs w:val="21"/>
      <w:lang w:val="en-US" w:eastAsia="zh-CN"/>
    </w:rPr>
  </w:style>
  <w:style w:type="paragraph" w:customStyle="1" w:styleId="Abstract">
    <w:name w:val="Abstract"/>
    <w:basedOn w:val="a"/>
    <w:qFormat/>
    <w:pPr>
      <w:adjustRightInd w:val="0"/>
      <w:snapToGrid w:val="0"/>
      <w:spacing w:before="240" w:line="288" w:lineRule="auto"/>
      <w:ind w:firstLineChars="0" w:firstLine="0"/>
    </w:pPr>
    <w:rPr>
      <w:b/>
      <w:sz w:val="24"/>
      <w:szCs w:val="24"/>
    </w:rPr>
  </w:style>
  <w:style w:type="paragraph" w:customStyle="1" w:styleId="Keywords">
    <w:name w:val="Keywords"/>
    <w:basedOn w:val="a"/>
    <w:qFormat/>
    <w:pPr>
      <w:adjustRightInd w:val="0"/>
      <w:snapToGrid w:val="0"/>
      <w:spacing w:before="240"/>
      <w:ind w:firstLineChars="0" w:firstLine="0"/>
    </w:pPr>
    <w:rPr>
      <w:rFonts w:eastAsia="宋体"/>
      <w:b/>
      <w:sz w:val="24"/>
    </w:rPr>
  </w:style>
  <w:style w:type="paragraph" w:customStyle="1" w:styleId="References">
    <w:name w:val="References"/>
    <w:basedOn w:val="a"/>
    <w:link w:val="References0"/>
    <w:qFormat/>
    <w:pPr>
      <w:autoSpaceDE w:val="0"/>
      <w:autoSpaceDN w:val="0"/>
      <w:adjustRightInd w:val="0"/>
      <w:ind w:firstLineChars="0" w:firstLine="0"/>
    </w:pPr>
    <w:rPr>
      <w:b/>
      <w:kern w:val="0"/>
      <w:sz w:val="24"/>
      <w:szCs w:val="24"/>
    </w:rPr>
  </w:style>
  <w:style w:type="character" w:customStyle="1" w:styleId="References0">
    <w:name w:val="References 字符"/>
    <w:basedOn w:val="a0"/>
    <w:link w:val="References"/>
    <w:qFormat/>
    <w:rPr>
      <w:rFonts w:ascii="Times New Roman" w:eastAsia="Times New Roman" w:hAnsi="Times New Roman"/>
      <w:b/>
      <w:sz w:val="24"/>
      <w:szCs w:val="24"/>
    </w:rPr>
  </w:style>
  <w:style w:type="paragraph" w:customStyle="1" w:styleId="afb">
    <w:name w:val="版权信息"/>
    <w:basedOn w:val="a"/>
    <w:qFormat/>
    <w:pPr>
      <w:ind w:firstLineChars="0" w:firstLine="0"/>
    </w:pPr>
  </w:style>
  <w:style w:type="character" w:customStyle="1" w:styleId="30">
    <w:name w:val="标题 3 字符"/>
    <w:link w:val="3"/>
    <w:uiPriority w:val="9"/>
    <w:qFormat/>
    <w:rPr>
      <w:rFonts w:ascii="Times New Roman" w:eastAsiaTheme="minorEastAsia" w:hAnsi="Times New Roman"/>
      <w:bCs/>
      <w:kern w:val="2"/>
      <w:sz w:val="21"/>
      <w:szCs w:val="32"/>
    </w:rPr>
  </w:style>
  <w:style w:type="character" w:customStyle="1" w:styleId="40">
    <w:name w:val="标题 4 字符"/>
    <w:link w:val="4"/>
    <w:uiPriority w:val="9"/>
    <w:qFormat/>
    <w:rPr>
      <w:rFonts w:eastAsia="NimbusRomNo9L" w:cs="NimbusRomNo9L"/>
      <w:sz w:val="21"/>
      <w:szCs w:val="28"/>
      <w:u w:val="single"/>
    </w:rPr>
  </w:style>
  <w:style w:type="character" w:customStyle="1" w:styleId="50">
    <w:name w:val="标题 5 字符"/>
    <w:link w:val="5"/>
    <w:uiPriority w:val="9"/>
    <w:qFormat/>
    <w:rPr>
      <w:rFonts w:ascii="Times New Roman" w:eastAsia="Times New Roman" w:hAnsi="Times New Roman"/>
      <w:b/>
      <w:bCs/>
      <w:kern w:val="2"/>
      <w:sz w:val="28"/>
      <w:szCs w:val="28"/>
    </w:rPr>
  </w:style>
  <w:style w:type="character" w:customStyle="1" w:styleId="60">
    <w:name w:val="标题 6 字符"/>
    <w:link w:val="6"/>
    <w:uiPriority w:val="9"/>
    <w:qFormat/>
    <w:rPr>
      <w:rFonts w:ascii="等线 Light" w:eastAsia="等线 Light" w:hAnsi="等线 Light"/>
      <w:b/>
      <w:bCs/>
      <w:kern w:val="2"/>
      <w:sz w:val="24"/>
      <w:szCs w:val="24"/>
    </w:rPr>
  </w:style>
  <w:style w:type="character" w:customStyle="1" w:styleId="70">
    <w:name w:val="标题 7 字符"/>
    <w:link w:val="7"/>
    <w:uiPriority w:val="9"/>
    <w:qFormat/>
    <w:rPr>
      <w:rFonts w:ascii="Times New Roman" w:eastAsia="Times New Roman" w:hAnsi="Times New Roman"/>
      <w:b/>
      <w:bCs/>
      <w:kern w:val="2"/>
      <w:sz w:val="24"/>
      <w:szCs w:val="24"/>
    </w:rPr>
  </w:style>
  <w:style w:type="character" w:customStyle="1" w:styleId="80">
    <w:name w:val="标题 8 字符"/>
    <w:link w:val="8"/>
    <w:uiPriority w:val="9"/>
    <w:qFormat/>
    <w:rPr>
      <w:rFonts w:ascii="等线 Light" w:eastAsia="等线 Light" w:hAnsi="等线 Light"/>
      <w:kern w:val="2"/>
      <w:sz w:val="24"/>
      <w:szCs w:val="24"/>
    </w:rPr>
  </w:style>
  <w:style w:type="character" w:customStyle="1" w:styleId="90">
    <w:name w:val="标题 9 字符"/>
    <w:link w:val="9"/>
    <w:uiPriority w:val="9"/>
    <w:semiHidden/>
    <w:qFormat/>
    <w:rPr>
      <w:rFonts w:ascii="等线 Light" w:eastAsia="等线 Light" w:hAnsi="等线 Light"/>
      <w:kern w:val="2"/>
      <w:sz w:val="21"/>
      <w:szCs w:val="21"/>
    </w:rPr>
  </w:style>
  <w:style w:type="paragraph" w:customStyle="1" w:styleId="afc">
    <w:name w:val="表题"/>
    <w:basedOn w:val="a"/>
    <w:qFormat/>
    <w:pPr>
      <w:spacing w:beforeLines="100" w:before="312" w:afterLines="100" w:after="312"/>
      <w:ind w:firstLineChars="0" w:firstLine="0"/>
      <w:jc w:val="center"/>
    </w:pPr>
    <w:rPr>
      <w:b/>
      <w:sz w:val="18"/>
    </w:rPr>
  </w:style>
  <w:style w:type="paragraph" w:customStyle="1" w:styleId="afd">
    <w:name w:val="表注"/>
    <w:basedOn w:val="afc"/>
    <w:qFormat/>
    <w:pPr>
      <w:adjustRightInd w:val="0"/>
      <w:snapToGrid w:val="0"/>
      <w:spacing w:beforeLines="0" w:before="0" w:afterLines="0" w:after="0" w:line="288" w:lineRule="auto"/>
      <w:jc w:val="both"/>
    </w:pPr>
    <w:rPr>
      <w:b w:val="0"/>
      <w:sz w:val="16"/>
    </w:rPr>
  </w:style>
  <w:style w:type="paragraph" w:customStyle="1" w:styleId="afe">
    <w:name w:val="参考文献"/>
    <w:basedOn w:val="a"/>
    <w:qFormat/>
    <w:pPr>
      <w:adjustRightInd w:val="0"/>
      <w:snapToGrid w:val="0"/>
      <w:spacing w:line="288" w:lineRule="auto"/>
      <w:ind w:left="400" w:hangingChars="200" w:hanging="400"/>
    </w:pPr>
    <w:rPr>
      <w:rFonts w:eastAsia="等线"/>
      <w:sz w:val="18"/>
      <w:szCs w:val="24"/>
    </w:rPr>
  </w:style>
  <w:style w:type="paragraph" w:customStyle="1" w:styleId="aff">
    <w:name w:val="稿件类型"/>
    <w:basedOn w:val="a"/>
    <w:qFormat/>
    <w:pPr>
      <w:adjustRightInd w:val="0"/>
      <w:snapToGrid w:val="0"/>
      <w:spacing w:before="360" w:line="288" w:lineRule="auto"/>
      <w:ind w:firstLineChars="0" w:firstLine="0"/>
      <w:jc w:val="left"/>
    </w:pPr>
    <w:rPr>
      <w:rFonts w:eastAsia="宋体"/>
    </w:rPr>
  </w:style>
  <w:style w:type="paragraph" w:customStyle="1" w:styleId="aff0">
    <w:name w:val="关键词"/>
    <w:basedOn w:val="a"/>
    <w:qFormat/>
    <w:pPr>
      <w:adjustRightInd w:val="0"/>
      <w:snapToGrid w:val="0"/>
      <w:spacing w:line="288" w:lineRule="auto"/>
      <w:ind w:firstLineChars="0" w:firstLine="0"/>
    </w:pPr>
  </w:style>
  <w:style w:type="paragraph" w:customStyle="1" w:styleId="aff1">
    <w:name w:val="机构信息"/>
    <w:basedOn w:val="a"/>
    <w:link w:val="aff2"/>
    <w:qFormat/>
    <w:pPr>
      <w:ind w:firstLineChars="0" w:firstLine="0"/>
    </w:pPr>
    <w:rPr>
      <w:i/>
    </w:rPr>
  </w:style>
  <w:style w:type="character" w:customStyle="1" w:styleId="aff2">
    <w:name w:val="机构信息 字符"/>
    <w:link w:val="aff1"/>
    <w:qFormat/>
    <w:rPr>
      <w:rFonts w:ascii="Times New Roman" w:eastAsia="Times New Roman" w:hAnsi="Times New Roman"/>
      <w:i/>
      <w:kern w:val="2"/>
      <w:sz w:val="21"/>
      <w:szCs w:val="21"/>
    </w:rPr>
  </w:style>
  <w:style w:type="paragraph" w:customStyle="1" w:styleId="aff3">
    <w:name w:val="接收日期"/>
    <w:basedOn w:val="a"/>
    <w:qFormat/>
    <w:pPr>
      <w:ind w:firstLineChars="0" w:firstLine="0"/>
    </w:pPr>
    <w:rPr>
      <w:sz w:val="16"/>
    </w:rPr>
  </w:style>
  <w:style w:type="paragraph" w:customStyle="1" w:styleId="aff4">
    <w:name w:val="通讯作者"/>
    <w:basedOn w:val="a"/>
    <w:qFormat/>
    <w:pPr>
      <w:adjustRightInd w:val="0"/>
      <w:snapToGrid w:val="0"/>
      <w:spacing w:line="288" w:lineRule="auto"/>
      <w:ind w:firstLineChars="0" w:firstLine="0"/>
    </w:pPr>
    <w:rPr>
      <w:sz w:val="18"/>
      <w:szCs w:val="18"/>
    </w:rPr>
  </w:style>
  <w:style w:type="paragraph" w:customStyle="1" w:styleId="aff5">
    <w:name w:val="图注"/>
    <w:basedOn w:val="afd"/>
    <w:qFormat/>
    <w:rPr>
      <w:rFonts w:eastAsia="宋体"/>
      <w:b/>
      <w:bCs/>
      <w:kern w:val="0"/>
      <w:sz w:val="18"/>
    </w:rPr>
  </w:style>
  <w:style w:type="paragraph" w:customStyle="1" w:styleId="aff6">
    <w:name w:val="文章标题"/>
    <w:basedOn w:val="a"/>
    <w:link w:val="aff7"/>
    <w:qFormat/>
    <w:pPr>
      <w:kinsoku w:val="0"/>
      <w:overflowPunct w:val="0"/>
      <w:autoSpaceDE w:val="0"/>
      <w:autoSpaceDN w:val="0"/>
      <w:adjustRightInd w:val="0"/>
      <w:snapToGrid w:val="0"/>
      <w:spacing w:after="240" w:line="288" w:lineRule="auto"/>
      <w:ind w:firstLineChars="0" w:firstLine="0"/>
    </w:pPr>
    <w:rPr>
      <w:b/>
      <w:bCs/>
      <w:spacing w:val="-8"/>
      <w:sz w:val="32"/>
      <w:szCs w:val="32"/>
    </w:rPr>
  </w:style>
  <w:style w:type="character" w:customStyle="1" w:styleId="aff7">
    <w:name w:val="文章标题 字符"/>
    <w:link w:val="aff6"/>
    <w:qFormat/>
    <w:rPr>
      <w:rFonts w:ascii="Times New Roman" w:eastAsia="Times New Roman" w:hAnsi="Times New Roman"/>
      <w:b/>
      <w:bCs/>
      <w:spacing w:val="-8"/>
      <w:kern w:val="2"/>
      <w:sz w:val="32"/>
      <w:szCs w:val="32"/>
    </w:rPr>
  </w:style>
  <w:style w:type="paragraph" w:customStyle="1" w:styleId="aff8">
    <w:name w:val="文章内容"/>
    <w:basedOn w:val="a"/>
    <w:link w:val="aff9"/>
    <w:qFormat/>
    <w:pPr>
      <w:ind w:firstLine="420"/>
    </w:pPr>
    <w:rPr>
      <w:color w:val="000000"/>
    </w:rPr>
  </w:style>
  <w:style w:type="character" w:customStyle="1" w:styleId="aff9">
    <w:name w:val="文章内容 字符"/>
    <w:link w:val="aff8"/>
    <w:qFormat/>
    <w:rPr>
      <w:rFonts w:ascii="Times New Roman" w:eastAsia="Times New Roman" w:hAnsi="Times New Roman"/>
      <w:color w:val="000000"/>
      <w:kern w:val="2"/>
      <w:sz w:val="21"/>
      <w:szCs w:val="21"/>
    </w:rPr>
  </w:style>
  <w:style w:type="paragraph" w:customStyle="1" w:styleId="affa">
    <w:name w:val="摘要"/>
    <w:basedOn w:val="a"/>
    <w:qFormat/>
    <w:pPr>
      <w:ind w:firstLineChars="0" w:firstLine="0"/>
    </w:pPr>
    <w:rPr>
      <w:color w:val="000000"/>
    </w:rPr>
  </w:style>
  <w:style w:type="character" w:styleId="affb">
    <w:name w:val="Placeholder Text"/>
    <w:uiPriority w:val="99"/>
    <w:semiHidden/>
    <w:qFormat/>
    <w:rPr>
      <w:color w:val="808080"/>
    </w:rPr>
  </w:style>
  <w:style w:type="paragraph" w:customStyle="1" w:styleId="affc">
    <w:name w:val="致谢部分"/>
    <w:basedOn w:val="a6"/>
    <w:link w:val="affd"/>
    <w:qFormat/>
    <w:pPr>
      <w:snapToGrid w:val="0"/>
      <w:spacing w:before="240" w:after="240" w:line="288" w:lineRule="auto"/>
      <w:ind w:firstLineChars="0" w:firstLine="0"/>
    </w:pPr>
    <w:rPr>
      <w:b/>
      <w:kern w:val="2"/>
      <w:sz w:val="24"/>
      <w:szCs w:val="24"/>
    </w:rPr>
  </w:style>
  <w:style w:type="character" w:customStyle="1" w:styleId="affd">
    <w:name w:val="致谢部分 字符"/>
    <w:link w:val="affc"/>
    <w:qFormat/>
    <w:rPr>
      <w:rFonts w:ascii="Times New Roman" w:eastAsia="Times New Roman" w:hAnsi="Times New Roman"/>
      <w:b/>
      <w:kern w:val="2"/>
      <w:sz w:val="24"/>
      <w:szCs w:val="24"/>
    </w:rPr>
  </w:style>
  <w:style w:type="paragraph" w:customStyle="1" w:styleId="affe">
    <w:name w:val="作者信息"/>
    <w:basedOn w:val="a"/>
    <w:qFormat/>
    <w:pPr>
      <w:adjustRightInd w:val="0"/>
      <w:snapToGrid w:val="0"/>
      <w:spacing w:after="240" w:line="288" w:lineRule="auto"/>
      <w:ind w:firstLineChars="0" w:firstLine="0"/>
    </w:pPr>
  </w:style>
  <w:style w:type="character" w:customStyle="1" w:styleId="a5">
    <w:name w:val="批注文字 字符"/>
    <w:basedOn w:val="a0"/>
    <w:link w:val="a4"/>
    <w:uiPriority w:val="99"/>
    <w:qFormat/>
    <w:rPr>
      <w:rFonts w:ascii="Times New Roman" w:eastAsia="Times New Roman" w:hAnsi="Times New Roman"/>
      <w:kern w:val="2"/>
      <w:sz w:val="21"/>
      <w:szCs w:val="21"/>
    </w:rPr>
  </w:style>
  <w:style w:type="character" w:customStyle="1" w:styleId="af2">
    <w:name w:val="批注主题 字符"/>
    <w:basedOn w:val="a5"/>
    <w:link w:val="af1"/>
    <w:uiPriority w:val="99"/>
    <w:semiHidden/>
    <w:qFormat/>
    <w:rPr>
      <w:rFonts w:ascii="Times New Roman" w:eastAsia="Times New Roman" w:hAnsi="Times New Roman"/>
      <w:b/>
      <w:bCs/>
      <w:kern w:val="2"/>
      <w:sz w:val="21"/>
      <w:szCs w:val="21"/>
    </w:rPr>
  </w:style>
  <w:style w:type="paragraph" w:customStyle="1" w:styleId="IMR-">
    <w:name w:val="IMR-首页页脚"/>
    <w:basedOn w:val="aa"/>
    <w:qFormat/>
    <w:pPr>
      <w:pBdr>
        <w:top w:val="single" w:sz="4" w:space="5" w:color="auto"/>
      </w:pBdr>
      <w:ind w:firstLineChars="0" w:firstLine="0"/>
    </w:pPr>
    <w:rPr>
      <w:sz w:val="16"/>
      <w:szCs w:val="12"/>
    </w:rPr>
  </w:style>
  <w:style w:type="paragraph" w:customStyle="1" w:styleId="affiliation">
    <w:name w:val="affiliation"/>
    <w:basedOn w:val="a"/>
    <w:next w:val="phone"/>
    <w:qFormat/>
    <w:pPr>
      <w:widowControl/>
      <w:overflowPunct w:val="0"/>
      <w:autoSpaceDE w:val="0"/>
      <w:autoSpaceDN w:val="0"/>
      <w:adjustRightInd w:val="0"/>
      <w:spacing w:before="120"/>
      <w:ind w:firstLineChars="0" w:firstLine="0"/>
      <w:jc w:val="left"/>
      <w:textAlignment w:val="baseline"/>
    </w:pPr>
    <w:rPr>
      <w:rFonts w:eastAsia="宋体"/>
      <w:i/>
      <w:kern w:val="0"/>
      <w:sz w:val="24"/>
      <w:szCs w:val="20"/>
      <w:lang w:eastAsia="de-DE"/>
    </w:rPr>
  </w:style>
  <w:style w:type="paragraph" w:customStyle="1" w:styleId="phone">
    <w:name w:val="phone"/>
    <w:basedOn w:val="a"/>
    <w:next w:val="fax"/>
    <w:qFormat/>
    <w:pPr>
      <w:widowControl/>
      <w:overflowPunct w:val="0"/>
      <w:autoSpaceDE w:val="0"/>
      <w:autoSpaceDN w:val="0"/>
      <w:adjustRightInd w:val="0"/>
      <w:spacing w:before="120"/>
      <w:ind w:firstLineChars="0" w:firstLine="0"/>
      <w:jc w:val="left"/>
      <w:textAlignment w:val="baseline"/>
    </w:pPr>
    <w:rPr>
      <w:rFonts w:eastAsia="宋体"/>
      <w:kern w:val="0"/>
      <w:sz w:val="20"/>
      <w:szCs w:val="20"/>
      <w:lang w:eastAsia="de-DE"/>
    </w:rPr>
  </w:style>
  <w:style w:type="paragraph" w:customStyle="1" w:styleId="fax">
    <w:name w:val="fax"/>
    <w:basedOn w:val="a"/>
    <w:next w:val="a"/>
    <w:qFormat/>
    <w:pPr>
      <w:widowControl/>
      <w:overflowPunct w:val="0"/>
      <w:autoSpaceDE w:val="0"/>
      <w:autoSpaceDN w:val="0"/>
      <w:adjustRightInd w:val="0"/>
      <w:spacing w:before="120"/>
      <w:ind w:firstLineChars="0" w:firstLine="0"/>
      <w:jc w:val="left"/>
      <w:textAlignment w:val="baseline"/>
    </w:pPr>
    <w:rPr>
      <w:rFonts w:eastAsia="宋体"/>
      <w:kern w:val="0"/>
      <w:sz w:val="20"/>
      <w:szCs w:val="20"/>
      <w:lang w:eastAsia="de-DE"/>
    </w:rPr>
  </w:style>
  <w:style w:type="paragraph" w:customStyle="1" w:styleId="url">
    <w:name w:val="url"/>
    <w:basedOn w:val="a"/>
    <w:next w:val="a"/>
    <w:qFormat/>
    <w:pPr>
      <w:widowControl/>
      <w:overflowPunct w:val="0"/>
      <w:autoSpaceDE w:val="0"/>
      <w:autoSpaceDN w:val="0"/>
      <w:adjustRightInd w:val="0"/>
      <w:spacing w:before="120"/>
      <w:ind w:firstLineChars="0" w:firstLine="0"/>
      <w:jc w:val="left"/>
      <w:textAlignment w:val="baseline"/>
    </w:pPr>
    <w:rPr>
      <w:rFonts w:eastAsia="宋体"/>
      <w:kern w:val="0"/>
      <w:sz w:val="20"/>
      <w:szCs w:val="20"/>
      <w:lang w:eastAsia="de-DE"/>
    </w:rPr>
  </w:style>
  <w:style w:type="character" w:customStyle="1" w:styleId="UnresolvedMention1">
    <w:name w:val="Unresolved Mention1"/>
    <w:basedOn w:val="a0"/>
    <w:uiPriority w:val="99"/>
    <w:semiHidden/>
    <w:unhideWhenUsed/>
    <w:qFormat/>
    <w:rPr>
      <w:color w:val="605E5C"/>
      <w:shd w:val="clear" w:color="auto" w:fill="E1DFDD"/>
    </w:rPr>
  </w:style>
  <w:style w:type="table" w:customStyle="1" w:styleId="TableGrid1">
    <w:name w:val="Table Grid1"/>
    <w:basedOn w:val="a1"/>
    <w:uiPriority w:val="39"/>
    <w:qFormat/>
    <w:rPr>
      <w:rFonts w:ascii="Aptos" w:eastAsia="Aptos" w:hAnsi="Aptos"/>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
    <w:name w:val="脚注文本 字符"/>
    <w:basedOn w:val="a0"/>
    <w:link w:val="ae"/>
    <w:uiPriority w:val="99"/>
    <w:semiHidden/>
    <w:qFormat/>
    <w:rPr>
      <w:rFonts w:eastAsia="Times New Roman"/>
      <w:kern w:val="2"/>
    </w:rPr>
  </w:style>
  <w:style w:type="paragraph" w:customStyle="1" w:styleId="TOCHeading1">
    <w:name w:val="TOC Heading1"/>
    <w:basedOn w:val="1"/>
    <w:next w:val="a"/>
    <w:uiPriority w:val="39"/>
    <w:unhideWhenUsed/>
    <w:qFormat/>
    <w:pPr>
      <w:keepNext/>
      <w:keepLines/>
      <w:widowControl/>
      <w:autoSpaceDE/>
      <w:autoSpaceDN/>
      <w:adjustRightInd/>
      <w:snapToGrid/>
      <w:spacing w:after="0" w:line="259" w:lineRule="auto"/>
      <w:outlineLvl w:val="9"/>
    </w:pPr>
    <w:rPr>
      <w:rFonts w:asciiTheme="majorHAnsi" w:eastAsiaTheme="majorEastAsia" w:hAnsiTheme="majorHAnsi" w:cstheme="majorBidi"/>
      <w:b w:val="0"/>
      <w:bCs w:val="0"/>
      <w:color w:val="2E74B5" w:themeColor="accent1" w:themeShade="BF"/>
      <w:sz w:val="32"/>
      <w:szCs w:val="32"/>
      <w:lang w:val="en-GB" w:eastAsia="en-GB"/>
    </w:rPr>
  </w:style>
  <w:style w:type="paragraph" w:customStyle="1" w:styleId="Revision1">
    <w:name w:val="Revision1"/>
    <w:hidden/>
    <w:uiPriority w:val="99"/>
    <w:semiHidden/>
    <w:qFormat/>
    <w:rPr>
      <w:rFonts w:eastAsia="Times New Roman"/>
      <w:kern w:val="2"/>
      <w:sz w:val="21"/>
      <w:szCs w:val="21"/>
      <w:lang w:val="en-US" w:eastAsia="zh-CN"/>
    </w:rPr>
  </w:style>
  <w:style w:type="paragraph" w:styleId="afff">
    <w:name w:val="No Spacing"/>
    <w:uiPriority w:val="1"/>
    <w:qFormat/>
    <w:rsid w:val="003C2CA1"/>
    <w:pPr>
      <w:widowControl w:val="0"/>
      <w:autoSpaceDE w:val="0"/>
      <w:autoSpaceDN w:val="0"/>
      <w:adjustRightInd w:val="0"/>
    </w:pPr>
    <w:rPr>
      <w:rFonts w:eastAsia="Times New Roman"/>
      <w:sz w:val="24"/>
      <w:szCs w:val="24"/>
    </w:rPr>
  </w:style>
  <w:style w:type="character" w:styleId="afff0">
    <w:name w:val="Unresolved Mention"/>
    <w:basedOn w:val="a0"/>
    <w:uiPriority w:val="99"/>
    <w:semiHidden/>
    <w:unhideWhenUsed/>
    <w:rsid w:val="00AA0CBA"/>
    <w:rPr>
      <w:color w:val="605E5C"/>
      <w:shd w:val="clear" w:color="auto" w:fill="E1DFDD"/>
    </w:rPr>
  </w:style>
  <w:style w:type="character" w:customStyle="1" w:styleId="EndNoteBibliographyChar">
    <w:name w:val="EndNote Bibliography Char"/>
    <w:basedOn w:val="a7"/>
    <w:rsid w:val="00C05C0C"/>
    <w:rPr>
      <w:rFonts w:ascii="Times New Roman" w:eastAsia="Times New Roman" w:hAnsi="Times New Roman" w:cs="Times New Roman"/>
      <w:noProof/>
      <w:kern w:val="2"/>
      <w:sz w:val="20"/>
      <w:szCs w:val="21"/>
      <w:lang w:eastAsia="zh-CN"/>
      <w14:ligatures w14:val="none"/>
    </w:rPr>
  </w:style>
  <w:style w:type="paragraph" w:styleId="afff1">
    <w:name w:val="Revision"/>
    <w:hidden/>
    <w:uiPriority w:val="99"/>
    <w:unhideWhenUsed/>
    <w:rsid w:val="00632F92"/>
    <w:rPr>
      <w:rFonts w:eastAsia="Times New Roman"/>
      <w:kern w:val="2"/>
      <w:sz w:val="21"/>
      <w:szCs w:val="21"/>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762854">
      <w:bodyDiv w:val="1"/>
      <w:marLeft w:val="0"/>
      <w:marRight w:val="0"/>
      <w:marTop w:val="0"/>
      <w:marBottom w:val="0"/>
      <w:divBdr>
        <w:top w:val="none" w:sz="0" w:space="0" w:color="auto"/>
        <w:left w:val="none" w:sz="0" w:space="0" w:color="auto"/>
        <w:bottom w:val="none" w:sz="0" w:space="0" w:color="auto"/>
        <w:right w:val="none" w:sz="0" w:space="0" w:color="auto"/>
      </w:divBdr>
    </w:div>
    <w:div w:id="116140755">
      <w:bodyDiv w:val="1"/>
      <w:marLeft w:val="0"/>
      <w:marRight w:val="0"/>
      <w:marTop w:val="0"/>
      <w:marBottom w:val="0"/>
      <w:divBdr>
        <w:top w:val="none" w:sz="0" w:space="0" w:color="auto"/>
        <w:left w:val="none" w:sz="0" w:space="0" w:color="auto"/>
        <w:bottom w:val="none" w:sz="0" w:space="0" w:color="auto"/>
        <w:right w:val="none" w:sz="0" w:space="0" w:color="auto"/>
      </w:divBdr>
    </w:div>
    <w:div w:id="1120412790">
      <w:bodyDiv w:val="1"/>
      <w:marLeft w:val="0"/>
      <w:marRight w:val="0"/>
      <w:marTop w:val="0"/>
      <w:marBottom w:val="0"/>
      <w:divBdr>
        <w:top w:val="none" w:sz="0" w:space="0" w:color="auto"/>
        <w:left w:val="none" w:sz="0" w:space="0" w:color="auto"/>
        <w:bottom w:val="none" w:sz="0" w:space="0" w:color="auto"/>
        <w:right w:val="none" w:sz="0" w:space="0" w:color="auto"/>
      </w:divBdr>
    </w:div>
    <w:div w:id="1137457610">
      <w:bodyDiv w:val="1"/>
      <w:marLeft w:val="0"/>
      <w:marRight w:val="0"/>
      <w:marTop w:val="0"/>
      <w:marBottom w:val="0"/>
      <w:divBdr>
        <w:top w:val="none" w:sz="0" w:space="0" w:color="auto"/>
        <w:left w:val="none" w:sz="0" w:space="0" w:color="auto"/>
        <w:bottom w:val="none" w:sz="0" w:space="0" w:color="auto"/>
        <w:right w:val="none" w:sz="0" w:space="0" w:color="auto"/>
      </w:divBdr>
    </w:div>
    <w:div w:id="1419785221">
      <w:bodyDiv w:val="1"/>
      <w:marLeft w:val="0"/>
      <w:marRight w:val="0"/>
      <w:marTop w:val="0"/>
      <w:marBottom w:val="0"/>
      <w:divBdr>
        <w:top w:val="none" w:sz="0" w:space="0" w:color="auto"/>
        <w:left w:val="none" w:sz="0" w:space="0" w:color="auto"/>
        <w:bottom w:val="none" w:sz="0" w:space="0" w:color="auto"/>
        <w:right w:val="none" w:sz="0" w:space="0" w:color="auto"/>
      </w:divBdr>
    </w:div>
    <w:div w:id="1618027639">
      <w:bodyDiv w:val="1"/>
      <w:marLeft w:val="0"/>
      <w:marRight w:val="0"/>
      <w:marTop w:val="0"/>
      <w:marBottom w:val="0"/>
      <w:divBdr>
        <w:top w:val="none" w:sz="0" w:space="0" w:color="auto"/>
        <w:left w:val="none" w:sz="0" w:space="0" w:color="auto"/>
        <w:bottom w:val="none" w:sz="0" w:space="0" w:color="auto"/>
        <w:right w:val="none" w:sz="0" w:space="0" w:color="auto"/>
      </w:divBdr>
    </w:div>
    <w:div w:id="2096660074">
      <w:bodyDiv w:val="1"/>
      <w:marLeft w:val="0"/>
      <w:marRight w:val="0"/>
      <w:marTop w:val="0"/>
      <w:marBottom w:val="0"/>
      <w:divBdr>
        <w:top w:val="none" w:sz="0" w:space="0" w:color="auto"/>
        <w:left w:val="none" w:sz="0" w:space="0" w:color="auto"/>
        <w:bottom w:val="none" w:sz="0" w:space="0" w:color="auto"/>
        <w:right w:val="none" w:sz="0" w:space="0" w:color="auto"/>
      </w:divBdr>
    </w:div>
    <w:div w:id="209959950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F78B6D-B09C-442C-8F2B-A3AD4B9A17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1960</Words>
  <Characters>11035</Characters>
  <Application>Microsoft Office Word</Application>
  <DocSecurity>0</DocSecurity>
  <Lines>394</Lines>
  <Paragraphs>316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Adminidtrator</dc:creator>
  <cp:keywords/>
  <dc:description/>
  <cp:lastModifiedBy>博文 世纪</cp:lastModifiedBy>
  <cp:revision>3</cp:revision>
  <cp:lastPrinted>2020-10-13T08:10:00Z</cp:lastPrinted>
  <dcterms:created xsi:type="dcterms:W3CDTF">2025-04-03T11:41:00Z</dcterms:created>
  <dcterms:modified xsi:type="dcterms:W3CDTF">2025-04-07T03:33:00Z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F2EABD58F9864FD395C44A811139B6DA_13</vt:lpwstr>
  </property>
  <property fmtid="{D5CDD505-2E9C-101B-9397-08002B2CF9AE}" pid="4" name="GrammarlyDocumentId">
    <vt:lpwstr>b7643ee50500947b303453c466473a84242dafb9b9ce44a5b8dcebd3680e68d5</vt:lpwstr>
  </property>
</Properties>
</file>